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B3C2" w14:textId="77777777" w:rsidR="00355F52" w:rsidRPr="00E10AF0" w:rsidRDefault="00355F52" w:rsidP="00355F52">
      <w:pPr>
        <w:spacing w:after="0"/>
        <w:rPr>
          <w:rFonts w:cstheme="minorHAnsi"/>
          <w:b/>
          <w:bCs/>
          <w:u w:val="single"/>
          <w:lang w:val="en-GB"/>
        </w:rPr>
      </w:pPr>
    </w:p>
    <w:p w14:paraId="11125FEE" w14:textId="77777777" w:rsidR="00355F52" w:rsidRPr="00E10AF0" w:rsidRDefault="00355F52" w:rsidP="00355F52">
      <w:pPr>
        <w:spacing w:after="0"/>
        <w:rPr>
          <w:rFonts w:cstheme="minorHAnsi"/>
          <w:b/>
          <w:bCs/>
          <w:u w:val="single"/>
          <w:lang w:val="en-GB"/>
        </w:rPr>
      </w:pPr>
    </w:p>
    <w:p w14:paraId="05B7FF7B" w14:textId="77777777" w:rsidR="00355F52" w:rsidRPr="00E10AF0" w:rsidRDefault="00355F52" w:rsidP="00355F52">
      <w:pPr>
        <w:spacing w:after="0"/>
        <w:rPr>
          <w:rFonts w:cstheme="minorHAnsi"/>
          <w:b/>
          <w:bCs/>
          <w:u w:val="single"/>
          <w:lang w:val="en-GB"/>
        </w:rPr>
      </w:pPr>
    </w:p>
    <w:p w14:paraId="27EF612D" w14:textId="77777777" w:rsidR="00355F52" w:rsidRPr="00E10AF0" w:rsidRDefault="00355F52" w:rsidP="00355F52">
      <w:pPr>
        <w:spacing w:after="0"/>
        <w:rPr>
          <w:rFonts w:cstheme="minorHAnsi"/>
          <w:b/>
          <w:bCs/>
          <w:u w:val="single"/>
          <w:lang w:val="en-GB"/>
        </w:rPr>
      </w:pPr>
    </w:p>
    <w:p w14:paraId="4A0E1541" w14:textId="77777777" w:rsidR="00355F52" w:rsidRPr="00E10AF0" w:rsidRDefault="00355F52" w:rsidP="00355F52">
      <w:pPr>
        <w:spacing w:after="0"/>
        <w:rPr>
          <w:rFonts w:cstheme="minorHAnsi"/>
          <w:b/>
          <w:bCs/>
          <w:u w:val="single"/>
          <w:lang w:val="en-GB"/>
        </w:rPr>
      </w:pPr>
    </w:p>
    <w:p w14:paraId="5E77A4D1" w14:textId="77777777" w:rsidR="00355F52" w:rsidRPr="00E10AF0" w:rsidRDefault="00355F52" w:rsidP="00355F52">
      <w:pPr>
        <w:spacing w:after="0"/>
        <w:rPr>
          <w:rFonts w:cstheme="minorHAnsi"/>
          <w:b/>
          <w:bCs/>
          <w:u w:val="single"/>
          <w:lang w:val="en-GB"/>
        </w:rPr>
      </w:pPr>
    </w:p>
    <w:p w14:paraId="6D7A8F24"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49644403" w14:textId="77777777" w:rsidR="00355F52" w:rsidRPr="00E10AF0" w:rsidRDefault="00355F52" w:rsidP="00355F52">
      <w:pPr>
        <w:spacing w:after="0"/>
        <w:jc w:val="center"/>
        <w:rPr>
          <w:rFonts w:eastAsiaTheme="majorEastAsia" w:hAnsi="Calibri" w:cstheme="majorBidi"/>
          <w:b/>
          <w:bCs/>
          <w:i/>
          <w:iCs/>
          <w:color w:val="000000" w:themeColor="text1"/>
          <w:kern w:val="24"/>
          <w:sz w:val="28"/>
          <w:szCs w:val="28"/>
        </w:rPr>
      </w:pPr>
    </w:p>
    <w:p w14:paraId="454841FF" w14:textId="13E9474B" w:rsidR="00355F52" w:rsidRPr="00E10AF0" w:rsidRDefault="00355F52" w:rsidP="00355F52">
      <w:pPr>
        <w:spacing w:after="0"/>
        <w:jc w:val="center"/>
        <w:rPr>
          <w:rFonts w:eastAsiaTheme="majorEastAsia" w:hAnsi="Calibri" w:cstheme="majorBidi"/>
          <w:b/>
          <w:bCs/>
          <w:i/>
          <w:iCs/>
          <w:color w:val="000000" w:themeColor="text1"/>
          <w:kern w:val="24"/>
          <w:sz w:val="28"/>
          <w:szCs w:val="28"/>
        </w:rPr>
      </w:pPr>
      <w:r w:rsidRPr="00E10AF0">
        <w:rPr>
          <w:rFonts w:eastAsiaTheme="majorEastAsia" w:hAnsi="Calibri" w:cstheme="majorBidi"/>
          <w:b/>
          <w:bCs/>
          <w:i/>
          <w:iCs/>
          <w:color w:val="000000" w:themeColor="text1"/>
          <w:kern w:val="24"/>
          <w:sz w:val="28"/>
          <w:szCs w:val="28"/>
        </w:rPr>
        <w:t>Market Consultation</w:t>
      </w:r>
      <w:r w:rsidRPr="00E10AF0">
        <w:rPr>
          <w:rFonts w:eastAsiaTheme="majorEastAsia" w:hAnsi="Calibri" w:cstheme="majorBidi"/>
          <w:b/>
          <w:bCs/>
          <w:i/>
          <w:iCs/>
          <w:color w:val="000000" w:themeColor="text1"/>
          <w:kern w:val="24"/>
          <w:sz w:val="28"/>
          <w:szCs w:val="28"/>
        </w:rPr>
        <w:br/>
        <w:t>Concinnity Conscious Companies Index (KRMA</w:t>
      </w:r>
      <w:r w:rsidRPr="00E10AF0">
        <w:rPr>
          <w:rFonts w:eastAsiaTheme="majorEastAsia" w:hAnsi="Calibri" w:cstheme="majorBidi"/>
          <w:i/>
          <w:iCs/>
          <w:color w:val="7F7F7F" w:themeColor="text1" w:themeTint="80"/>
          <w:kern w:val="24"/>
          <w:sz w:val="28"/>
          <w:szCs w:val="28"/>
        </w:rPr>
        <w:t>TR</w:t>
      </w:r>
      <w:r w:rsidRPr="00E10AF0">
        <w:rPr>
          <w:rFonts w:eastAsiaTheme="majorEastAsia" w:hAnsi="Calibri" w:cstheme="majorBidi"/>
          <w:b/>
          <w:bCs/>
          <w:i/>
          <w:iCs/>
          <w:color w:val="000000" w:themeColor="text1"/>
          <w:kern w:val="24"/>
          <w:sz w:val="28"/>
          <w:szCs w:val="28"/>
        </w:rPr>
        <w:t>/KRMA</w:t>
      </w:r>
      <w:r w:rsidRPr="00E10AF0">
        <w:rPr>
          <w:rFonts w:eastAsiaTheme="majorEastAsia" w:hAnsi="Calibri" w:cstheme="majorBidi"/>
          <w:i/>
          <w:iCs/>
          <w:color w:val="7F7F7F" w:themeColor="text1" w:themeTint="80"/>
          <w:kern w:val="24"/>
          <w:sz w:val="28"/>
          <w:szCs w:val="28"/>
        </w:rPr>
        <w:t>PR</w:t>
      </w:r>
      <w:r w:rsidRPr="00E10AF0">
        <w:rPr>
          <w:rFonts w:eastAsiaTheme="majorEastAsia" w:hAnsi="Calibri" w:cstheme="majorBidi"/>
          <w:b/>
          <w:bCs/>
          <w:i/>
          <w:iCs/>
          <w:color w:val="000000" w:themeColor="text1"/>
          <w:kern w:val="24"/>
          <w:sz w:val="28"/>
          <w:szCs w:val="28"/>
        </w:rPr>
        <w:t>)</w:t>
      </w:r>
      <w:r w:rsidRPr="00E10AF0">
        <w:rPr>
          <w:rFonts w:eastAsiaTheme="majorEastAsia" w:hAnsi="Calibri" w:cstheme="majorBidi"/>
          <w:b/>
          <w:bCs/>
          <w:i/>
          <w:iCs/>
          <w:color w:val="000000" w:themeColor="text1"/>
          <w:kern w:val="24"/>
          <w:sz w:val="28"/>
          <w:szCs w:val="28"/>
        </w:rPr>
        <w:br/>
        <w:t>Change of Methodology</w:t>
      </w:r>
    </w:p>
    <w:p w14:paraId="0CD25395"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41794C68"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57FDB0E7"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4783E78A"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2B4AD720" w14:textId="4922E682" w:rsidR="00355F52" w:rsidRPr="00E10AF0" w:rsidRDefault="00355F52" w:rsidP="00355F52">
      <w:pPr>
        <w:spacing w:after="0"/>
        <w:jc w:val="center"/>
        <w:rPr>
          <w:rFonts w:eastAsiaTheme="majorEastAsia" w:hAnsi="Calibri" w:cstheme="majorBidi"/>
          <w:b/>
          <w:bCs/>
          <w:i/>
          <w:iCs/>
          <w:color w:val="000000" w:themeColor="text1"/>
          <w:kern w:val="24"/>
        </w:rPr>
      </w:pPr>
      <w:r w:rsidRPr="00E10AF0">
        <w:rPr>
          <w:noProof/>
        </w:rPr>
        <w:drawing>
          <wp:inline distT="0" distB="0" distL="0" distR="0" wp14:anchorId="5AF1D308" wp14:editId="0A39B087">
            <wp:extent cx="1666875" cy="485775"/>
            <wp:effectExtent l="0" t="0" r="9525" b="9525"/>
            <wp:docPr id="3074" name="Picture 2" descr="A close up of a logo&#10;&#10;Description automatically generated">
              <a:extLst xmlns:a="http://schemas.openxmlformats.org/drawingml/2006/main">
                <a:ext uri="{FF2B5EF4-FFF2-40B4-BE49-F238E27FC236}">
                  <a16:creationId xmlns:a16="http://schemas.microsoft.com/office/drawing/2014/main" id="{1C05E829-6BBB-ACE1-B1FA-152ADDC227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 close up of a logo&#10;&#10;Description automatically generated">
                      <a:extLst>
                        <a:ext uri="{FF2B5EF4-FFF2-40B4-BE49-F238E27FC236}">
                          <a16:creationId xmlns:a16="http://schemas.microsoft.com/office/drawing/2014/main" id="{1C05E829-6BBB-ACE1-B1FA-152ADDC2276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35E8B1D"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4AFB1378"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5507FCE4"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22D5F9C7"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692DC563"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3C9AFC53"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38A3F214" w14:textId="77777777" w:rsidR="00355F52" w:rsidRPr="00E10AF0" w:rsidRDefault="00355F52" w:rsidP="00355F52">
      <w:pPr>
        <w:spacing w:after="0"/>
        <w:jc w:val="center"/>
        <w:rPr>
          <w:rFonts w:eastAsiaTheme="majorEastAsia" w:hAnsi="Calibri" w:cstheme="majorBidi"/>
          <w:b/>
          <w:bCs/>
          <w:i/>
          <w:iCs/>
          <w:color w:val="000000" w:themeColor="text1"/>
          <w:kern w:val="24"/>
        </w:rPr>
      </w:pPr>
    </w:p>
    <w:p w14:paraId="57DF31D6" w14:textId="610E500F" w:rsidR="00355F52" w:rsidRPr="00E10AF0" w:rsidRDefault="00355F52" w:rsidP="00355F52">
      <w:pPr>
        <w:spacing w:after="0"/>
        <w:jc w:val="center"/>
        <w:rPr>
          <w:rFonts w:cstheme="minorHAnsi"/>
          <w:b/>
          <w:bCs/>
          <w:u w:val="single"/>
          <w:lang w:val="en-GB"/>
        </w:rPr>
      </w:pPr>
    </w:p>
    <w:p w14:paraId="4A2300CD" w14:textId="77777777" w:rsidR="00355F52" w:rsidRPr="00E10AF0" w:rsidRDefault="00355F52" w:rsidP="00355F52">
      <w:pPr>
        <w:spacing w:after="0"/>
        <w:rPr>
          <w:rFonts w:cstheme="minorHAnsi"/>
          <w:b/>
          <w:bCs/>
          <w:u w:val="single"/>
          <w:lang w:val="en-GB"/>
        </w:rPr>
      </w:pPr>
    </w:p>
    <w:p w14:paraId="7D9B1E2A" w14:textId="77777777" w:rsidR="00355F52" w:rsidRPr="00E10AF0" w:rsidRDefault="00355F52" w:rsidP="00355F52">
      <w:pPr>
        <w:spacing w:after="0"/>
        <w:rPr>
          <w:rFonts w:cstheme="minorHAnsi"/>
          <w:b/>
          <w:bCs/>
          <w:u w:val="single"/>
          <w:lang w:val="en-GB"/>
        </w:rPr>
      </w:pPr>
    </w:p>
    <w:p w14:paraId="51536EB8" w14:textId="77777777" w:rsidR="00355F52" w:rsidRPr="00E10AF0" w:rsidRDefault="00355F52" w:rsidP="00355F52">
      <w:pPr>
        <w:spacing w:after="0"/>
        <w:rPr>
          <w:rFonts w:cstheme="minorHAnsi"/>
          <w:b/>
          <w:bCs/>
          <w:u w:val="single"/>
          <w:lang w:val="en-GB"/>
        </w:rPr>
      </w:pPr>
    </w:p>
    <w:p w14:paraId="016F98E4" w14:textId="77777777" w:rsidR="00355F52" w:rsidRPr="00E10AF0" w:rsidRDefault="00355F52" w:rsidP="00355F52">
      <w:pPr>
        <w:spacing w:after="0"/>
        <w:rPr>
          <w:rFonts w:cstheme="minorHAnsi"/>
          <w:b/>
          <w:bCs/>
          <w:u w:val="single"/>
          <w:lang w:val="en-GB"/>
        </w:rPr>
      </w:pPr>
    </w:p>
    <w:p w14:paraId="5CBB5691" w14:textId="77777777" w:rsidR="00355F52" w:rsidRPr="00E10AF0" w:rsidRDefault="00355F52" w:rsidP="00355F52">
      <w:pPr>
        <w:spacing w:after="0"/>
        <w:rPr>
          <w:rFonts w:cstheme="minorHAnsi"/>
          <w:b/>
          <w:bCs/>
          <w:u w:val="single"/>
          <w:lang w:val="en-GB"/>
        </w:rPr>
      </w:pPr>
    </w:p>
    <w:p w14:paraId="62CDB609" w14:textId="77777777" w:rsidR="00355F52" w:rsidRPr="00E10AF0" w:rsidRDefault="00355F52" w:rsidP="00355F52">
      <w:pPr>
        <w:spacing w:after="0"/>
        <w:rPr>
          <w:rFonts w:cstheme="minorHAnsi"/>
          <w:b/>
          <w:bCs/>
          <w:u w:val="single"/>
          <w:lang w:val="en-GB"/>
        </w:rPr>
      </w:pPr>
    </w:p>
    <w:p w14:paraId="49B2D991" w14:textId="77777777" w:rsidR="00355F52" w:rsidRPr="00E10AF0" w:rsidRDefault="00355F52" w:rsidP="00355F52">
      <w:pPr>
        <w:spacing w:after="0"/>
        <w:rPr>
          <w:rFonts w:cstheme="minorHAnsi"/>
          <w:b/>
          <w:bCs/>
          <w:u w:val="single"/>
          <w:lang w:val="en-GB"/>
        </w:rPr>
      </w:pPr>
    </w:p>
    <w:p w14:paraId="654A15A5" w14:textId="77777777" w:rsidR="00355F52" w:rsidRPr="00E10AF0" w:rsidRDefault="00355F52" w:rsidP="00355F52">
      <w:pPr>
        <w:spacing w:after="0"/>
        <w:rPr>
          <w:rFonts w:cstheme="minorHAnsi"/>
          <w:b/>
          <w:bCs/>
          <w:u w:val="single"/>
          <w:lang w:val="en-GB"/>
        </w:rPr>
      </w:pPr>
    </w:p>
    <w:p w14:paraId="6FEFA715" w14:textId="77777777" w:rsidR="00355F52" w:rsidRPr="00E10AF0" w:rsidRDefault="00355F52" w:rsidP="00355F52">
      <w:pPr>
        <w:spacing w:after="0"/>
        <w:rPr>
          <w:rFonts w:cstheme="minorHAnsi"/>
          <w:b/>
          <w:bCs/>
          <w:u w:val="single"/>
          <w:lang w:val="en-GB"/>
        </w:rPr>
      </w:pPr>
    </w:p>
    <w:p w14:paraId="244CF23D" w14:textId="77777777" w:rsidR="005C4FDD" w:rsidRPr="00E10AF0" w:rsidRDefault="005C4FDD" w:rsidP="006463DB">
      <w:pPr>
        <w:spacing w:after="0"/>
        <w:jc w:val="center"/>
        <w:rPr>
          <w:rFonts w:eastAsiaTheme="majorEastAsia" w:hAnsi="Calibri" w:cstheme="majorBidi"/>
          <w:color w:val="7F7F7F" w:themeColor="text1" w:themeTint="80"/>
          <w:kern w:val="24"/>
        </w:rPr>
      </w:pPr>
    </w:p>
    <w:p w14:paraId="0D181BA2" w14:textId="77777777" w:rsidR="005C4FDD" w:rsidRPr="00E10AF0" w:rsidRDefault="005C4FDD" w:rsidP="006463DB">
      <w:pPr>
        <w:spacing w:after="0"/>
        <w:jc w:val="center"/>
        <w:rPr>
          <w:rFonts w:eastAsiaTheme="majorEastAsia" w:hAnsi="Calibri" w:cstheme="majorBidi"/>
          <w:color w:val="7F7F7F" w:themeColor="text1" w:themeTint="80"/>
          <w:kern w:val="24"/>
        </w:rPr>
      </w:pPr>
    </w:p>
    <w:p w14:paraId="2C32FC31" w14:textId="77777777" w:rsidR="005C4FDD" w:rsidRPr="00E10AF0" w:rsidRDefault="005C4FDD" w:rsidP="006463DB">
      <w:pPr>
        <w:spacing w:after="0"/>
        <w:jc w:val="center"/>
        <w:rPr>
          <w:rFonts w:eastAsiaTheme="majorEastAsia" w:hAnsi="Calibri" w:cstheme="majorBidi"/>
          <w:color w:val="7F7F7F" w:themeColor="text1" w:themeTint="80"/>
          <w:kern w:val="24"/>
        </w:rPr>
      </w:pPr>
    </w:p>
    <w:p w14:paraId="49B03276" w14:textId="77777777" w:rsidR="005C4FDD" w:rsidRPr="00E10AF0" w:rsidRDefault="005C4FDD" w:rsidP="006463DB">
      <w:pPr>
        <w:spacing w:after="0"/>
        <w:jc w:val="center"/>
        <w:rPr>
          <w:rFonts w:eastAsiaTheme="majorEastAsia" w:hAnsi="Calibri" w:cstheme="majorBidi"/>
          <w:color w:val="7F7F7F" w:themeColor="text1" w:themeTint="80"/>
          <w:kern w:val="24"/>
        </w:rPr>
      </w:pPr>
    </w:p>
    <w:p w14:paraId="3C125707" w14:textId="77777777" w:rsidR="005C4FDD" w:rsidRPr="00E10AF0" w:rsidRDefault="005C4FDD" w:rsidP="006463DB">
      <w:pPr>
        <w:spacing w:after="0"/>
        <w:jc w:val="center"/>
        <w:rPr>
          <w:rFonts w:eastAsiaTheme="majorEastAsia" w:hAnsi="Calibri" w:cstheme="majorBidi"/>
          <w:color w:val="7F7F7F" w:themeColor="text1" w:themeTint="80"/>
          <w:kern w:val="24"/>
        </w:rPr>
      </w:pPr>
    </w:p>
    <w:p w14:paraId="5E3A1550" w14:textId="77777777" w:rsidR="00E10AF0" w:rsidRDefault="00E10AF0" w:rsidP="005C4FDD">
      <w:pPr>
        <w:spacing w:after="0"/>
        <w:jc w:val="center"/>
        <w:rPr>
          <w:rFonts w:eastAsiaTheme="majorEastAsia" w:hAnsi="Calibri" w:cstheme="majorBidi"/>
          <w:color w:val="7F7F7F" w:themeColor="text1" w:themeTint="80"/>
          <w:kern w:val="24"/>
        </w:rPr>
      </w:pPr>
    </w:p>
    <w:p w14:paraId="2E0008F7" w14:textId="77777777" w:rsidR="00E10AF0" w:rsidRDefault="00E10AF0" w:rsidP="005C4FDD">
      <w:pPr>
        <w:spacing w:after="0"/>
        <w:jc w:val="center"/>
        <w:rPr>
          <w:rFonts w:eastAsiaTheme="majorEastAsia" w:hAnsi="Calibri" w:cstheme="majorBidi"/>
          <w:color w:val="7F7F7F" w:themeColor="text1" w:themeTint="80"/>
          <w:kern w:val="24"/>
        </w:rPr>
      </w:pPr>
    </w:p>
    <w:p w14:paraId="7C0BBBEF" w14:textId="2047CF4A" w:rsidR="00E10AF0" w:rsidRDefault="005C4FDD" w:rsidP="00E10AF0">
      <w:pPr>
        <w:spacing w:after="0"/>
        <w:jc w:val="center"/>
        <w:rPr>
          <w:rFonts w:eastAsiaTheme="majorEastAsia" w:hAnsi="Calibri" w:cstheme="majorBidi"/>
          <w:color w:val="7F7F7F" w:themeColor="text1" w:themeTint="80"/>
          <w:kern w:val="24"/>
        </w:rPr>
      </w:pPr>
      <w:r w:rsidRPr="00E10AF0">
        <w:rPr>
          <w:rFonts w:eastAsiaTheme="majorEastAsia" w:hAnsi="Calibri" w:cstheme="majorBidi"/>
          <w:color w:val="7F7F7F" w:themeColor="text1" w:themeTint="80"/>
          <w:kern w:val="24"/>
        </w:rPr>
        <w:t>2</w:t>
      </w:r>
      <w:r w:rsidR="0055328A" w:rsidRPr="00E10AF0">
        <w:rPr>
          <w:rFonts w:eastAsiaTheme="majorEastAsia" w:hAnsi="Calibri" w:cstheme="majorBidi"/>
          <w:color w:val="7F7F7F" w:themeColor="text1" w:themeTint="80"/>
          <w:kern w:val="24"/>
        </w:rPr>
        <w:t xml:space="preserve"> February 202</w:t>
      </w:r>
      <w:r w:rsidR="00E10AF0">
        <w:rPr>
          <w:rFonts w:eastAsiaTheme="majorEastAsia" w:hAnsi="Calibri" w:cstheme="majorBidi"/>
          <w:color w:val="7F7F7F" w:themeColor="text1" w:themeTint="80"/>
          <w:kern w:val="24"/>
        </w:rPr>
        <w:t>4</w:t>
      </w:r>
    </w:p>
    <w:p w14:paraId="4099CD92" w14:textId="6F7524A5" w:rsidR="00355F52" w:rsidRPr="00E10AF0" w:rsidRDefault="00355F52" w:rsidP="00E10AF0">
      <w:pPr>
        <w:spacing w:after="0"/>
        <w:rPr>
          <w:rFonts w:cstheme="minorHAnsi"/>
          <w:b/>
          <w:bCs/>
          <w:color w:val="595959" w:themeColor="text1" w:themeTint="A6"/>
          <w:u w:val="single"/>
          <w:lang w:val="en-GB"/>
        </w:rPr>
      </w:pPr>
      <w:r w:rsidRPr="00E10AF0">
        <w:rPr>
          <w:rFonts w:cstheme="minorHAnsi"/>
          <w:b/>
          <w:bCs/>
          <w:sz w:val="28"/>
          <w:szCs w:val="28"/>
          <w:u w:val="single"/>
          <w:lang w:val="en-GB"/>
        </w:rPr>
        <w:lastRenderedPageBreak/>
        <w:t>Content of the Market Consultation</w:t>
      </w:r>
    </w:p>
    <w:p w14:paraId="677031EE" w14:textId="77777777" w:rsidR="00355F52" w:rsidRPr="00E10AF0" w:rsidRDefault="00355F52" w:rsidP="00355F52">
      <w:pPr>
        <w:spacing w:after="0"/>
        <w:rPr>
          <w:rFonts w:cstheme="minorHAnsi"/>
          <w:b/>
          <w:bCs/>
          <w:lang w:val="en-GB"/>
        </w:rPr>
      </w:pPr>
    </w:p>
    <w:p w14:paraId="563853C6" w14:textId="77777777" w:rsidR="00355F52" w:rsidRPr="00E10AF0" w:rsidRDefault="00355F52" w:rsidP="00355F52">
      <w:pPr>
        <w:spacing w:after="0"/>
        <w:rPr>
          <w:rFonts w:cstheme="minorHAnsi"/>
          <w:lang w:val="en-GB"/>
        </w:rPr>
      </w:pPr>
      <w:r w:rsidRPr="00E10AF0">
        <w:rPr>
          <w:rFonts w:cstheme="minorHAnsi"/>
          <w:lang w:val="en-GB"/>
        </w:rPr>
        <w:t>The Index Owner (</w:t>
      </w:r>
      <w:proofErr w:type="spellStart"/>
      <w:r w:rsidRPr="00E10AF0">
        <w:rPr>
          <w:rFonts w:cstheme="minorHAnsi"/>
          <w:lang w:val="en-GB"/>
        </w:rPr>
        <w:t>Concinnity</w:t>
      </w:r>
      <w:proofErr w:type="spellEnd"/>
      <w:r w:rsidRPr="00E10AF0">
        <w:rPr>
          <w:rFonts w:cstheme="minorHAnsi"/>
          <w:lang w:val="en-GB"/>
        </w:rPr>
        <w:t xml:space="preserve"> Advisors, LP) has decided to conduct a Market Consultation with regard to changing its Index Methodology of the following Indices (the ‘Affected </w:t>
      </w:r>
      <w:proofErr w:type="gramStart"/>
      <w:r w:rsidRPr="00E10AF0">
        <w:rPr>
          <w:rFonts w:cstheme="minorHAnsi"/>
          <w:lang w:val="en-GB"/>
        </w:rPr>
        <w:t>Indices‘</w:t>
      </w:r>
      <w:proofErr w:type="gramEnd"/>
      <w:r w:rsidRPr="00E10AF0">
        <w:rPr>
          <w:rFonts w:cstheme="minorHAnsi"/>
          <w:lang w:val="en-GB"/>
        </w:rPr>
        <w:t>):</w:t>
      </w:r>
    </w:p>
    <w:p w14:paraId="49F2A460" w14:textId="77777777" w:rsidR="00355F52" w:rsidRPr="00E10AF0" w:rsidRDefault="00355F52" w:rsidP="00355F52">
      <w:pPr>
        <w:spacing w:after="0"/>
        <w:rPr>
          <w:rFonts w:cstheme="minorHAnsi"/>
          <w:lang w:val="en-GB"/>
        </w:rPr>
      </w:pPr>
    </w:p>
    <w:tbl>
      <w:tblPr>
        <w:tblW w:w="9629" w:type="dxa"/>
        <w:tblCellMar>
          <w:left w:w="0" w:type="dxa"/>
          <w:right w:w="0" w:type="dxa"/>
        </w:tblCellMar>
        <w:tblLook w:val="04A0" w:firstRow="1" w:lastRow="0" w:firstColumn="1" w:lastColumn="0" w:noHBand="0" w:noVBand="1"/>
      </w:tblPr>
      <w:tblGrid>
        <w:gridCol w:w="6227"/>
        <w:gridCol w:w="1560"/>
        <w:gridCol w:w="1842"/>
      </w:tblGrid>
      <w:tr w:rsidR="00355F52" w:rsidRPr="00E10AF0" w14:paraId="2FBB4513" w14:textId="77777777" w:rsidTr="00C12819">
        <w:trPr>
          <w:trHeight w:val="201"/>
        </w:trPr>
        <w:tc>
          <w:tcPr>
            <w:tcW w:w="6227" w:type="dxa"/>
            <w:tcBorders>
              <w:top w:val="single" w:sz="8" w:space="0" w:color="auto"/>
              <w:left w:val="single" w:sz="8" w:space="0" w:color="auto"/>
              <w:bottom w:val="single" w:sz="8" w:space="0" w:color="auto"/>
              <w:right w:val="single" w:sz="8" w:space="0" w:color="auto"/>
            </w:tcBorders>
            <w:shd w:val="clear" w:color="auto" w:fill="808080"/>
            <w:noWrap/>
            <w:tcMar>
              <w:top w:w="0" w:type="dxa"/>
              <w:left w:w="70" w:type="dxa"/>
              <w:bottom w:w="0" w:type="dxa"/>
              <w:right w:w="70" w:type="dxa"/>
            </w:tcMar>
            <w:vAlign w:val="bottom"/>
            <w:hideMark/>
          </w:tcPr>
          <w:p w14:paraId="7C98E1B8" w14:textId="77777777" w:rsidR="00355F52" w:rsidRPr="00E10AF0" w:rsidRDefault="00355F52" w:rsidP="00C12819">
            <w:pPr>
              <w:spacing w:after="0"/>
              <w:rPr>
                <w:rFonts w:cstheme="minorHAnsi"/>
                <w:b/>
                <w:bCs/>
              </w:rPr>
            </w:pPr>
            <w:r w:rsidRPr="00E10AF0">
              <w:rPr>
                <w:rFonts w:cstheme="minorHAnsi"/>
                <w:b/>
                <w:bCs/>
              </w:rPr>
              <w:t>NAME</w:t>
            </w:r>
          </w:p>
        </w:tc>
        <w:tc>
          <w:tcPr>
            <w:tcW w:w="1560" w:type="dxa"/>
            <w:tcBorders>
              <w:top w:val="single" w:sz="8" w:space="0" w:color="auto"/>
              <w:left w:val="nil"/>
              <w:bottom w:val="single" w:sz="8" w:space="0" w:color="auto"/>
              <w:right w:val="single" w:sz="8" w:space="0" w:color="auto"/>
            </w:tcBorders>
            <w:shd w:val="clear" w:color="auto" w:fill="808080"/>
            <w:noWrap/>
            <w:tcMar>
              <w:top w:w="0" w:type="dxa"/>
              <w:left w:w="70" w:type="dxa"/>
              <w:bottom w:w="0" w:type="dxa"/>
              <w:right w:w="70" w:type="dxa"/>
            </w:tcMar>
            <w:vAlign w:val="bottom"/>
            <w:hideMark/>
          </w:tcPr>
          <w:p w14:paraId="101850CC" w14:textId="77777777" w:rsidR="00355F52" w:rsidRPr="00E10AF0" w:rsidRDefault="00355F52" w:rsidP="00C12819">
            <w:pPr>
              <w:spacing w:after="0"/>
              <w:rPr>
                <w:rFonts w:cstheme="minorHAnsi"/>
                <w:b/>
                <w:bCs/>
              </w:rPr>
            </w:pPr>
            <w:r w:rsidRPr="00E10AF0">
              <w:rPr>
                <w:rFonts w:cstheme="minorHAnsi"/>
                <w:b/>
                <w:bCs/>
              </w:rPr>
              <w:t>RIC</w:t>
            </w:r>
          </w:p>
        </w:tc>
        <w:tc>
          <w:tcPr>
            <w:tcW w:w="1842" w:type="dxa"/>
            <w:tcBorders>
              <w:top w:val="single" w:sz="8" w:space="0" w:color="auto"/>
              <w:left w:val="nil"/>
              <w:bottom w:val="single" w:sz="8" w:space="0" w:color="auto"/>
              <w:right w:val="single" w:sz="8" w:space="0" w:color="auto"/>
            </w:tcBorders>
            <w:shd w:val="clear" w:color="auto" w:fill="808080"/>
            <w:noWrap/>
            <w:tcMar>
              <w:top w:w="0" w:type="dxa"/>
              <w:left w:w="70" w:type="dxa"/>
              <w:bottom w:w="0" w:type="dxa"/>
              <w:right w:w="70" w:type="dxa"/>
            </w:tcMar>
            <w:vAlign w:val="bottom"/>
            <w:hideMark/>
          </w:tcPr>
          <w:p w14:paraId="0FE06CD1" w14:textId="77777777" w:rsidR="00355F52" w:rsidRPr="00E10AF0" w:rsidRDefault="00355F52" w:rsidP="00C12819">
            <w:pPr>
              <w:spacing w:after="0"/>
              <w:rPr>
                <w:rFonts w:cstheme="minorHAnsi"/>
                <w:b/>
                <w:bCs/>
              </w:rPr>
            </w:pPr>
            <w:r w:rsidRPr="00E10AF0">
              <w:rPr>
                <w:rFonts w:cstheme="minorHAnsi"/>
                <w:b/>
                <w:bCs/>
              </w:rPr>
              <w:t>ISIN</w:t>
            </w:r>
          </w:p>
        </w:tc>
      </w:tr>
      <w:tr w:rsidR="00355F52" w:rsidRPr="00E10AF0" w14:paraId="3CAE5DF2" w14:textId="77777777" w:rsidTr="00C12819">
        <w:trPr>
          <w:trHeight w:val="201"/>
        </w:trPr>
        <w:tc>
          <w:tcPr>
            <w:tcW w:w="6227" w:type="dxa"/>
            <w:tcBorders>
              <w:top w:val="nil"/>
              <w:left w:val="single" w:sz="8" w:space="0" w:color="auto"/>
              <w:right w:val="single" w:sz="8" w:space="0" w:color="auto"/>
            </w:tcBorders>
            <w:noWrap/>
            <w:tcMar>
              <w:top w:w="0" w:type="dxa"/>
              <w:left w:w="70" w:type="dxa"/>
              <w:bottom w:w="0" w:type="dxa"/>
              <w:right w:w="70" w:type="dxa"/>
            </w:tcMar>
            <w:vAlign w:val="center"/>
          </w:tcPr>
          <w:p w14:paraId="3E55B7C1" w14:textId="77777777" w:rsidR="00355F52" w:rsidRPr="00E10AF0" w:rsidRDefault="00355F52" w:rsidP="00C12819">
            <w:pPr>
              <w:spacing w:after="0"/>
              <w:rPr>
                <w:rFonts w:cstheme="minorHAnsi"/>
                <w:color w:val="000000" w:themeColor="text1"/>
              </w:rPr>
            </w:pPr>
            <w:r w:rsidRPr="00E10AF0">
              <w:rPr>
                <w:rFonts w:cstheme="minorHAnsi"/>
              </w:rPr>
              <w:t>Concinnity Conscious Companies PR Index</w:t>
            </w:r>
          </w:p>
        </w:tc>
        <w:tc>
          <w:tcPr>
            <w:tcW w:w="1560" w:type="dxa"/>
            <w:tcBorders>
              <w:top w:val="nil"/>
              <w:left w:val="nil"/>
              <w:right w:val="single" w:sz="8" w:space="0" w:color="auto"/>
            </w:tcBorders>
            <w:noWrap/>
            <w:tcMar>
              <w:top w:w="0" w:type="dxa"/>
              <w:left w:w="70" w:type="dxa"/>
              <w:bottom w:w="0" w:type="dxa"/>
              <w:right w:w="70" w:type="dxa"/>
            </w:tcMar>
            <w:vAlign w:val="center"/>
          </w:tcPr>
          <w:p w14:paraId="79773662" w14:textId="77777777" w:rsidR="00355F52" w:rsidRPr="00E10AF0" w:rsidRDefault="00355F52" w:rsidP="00C12819">
            <w:pPr>
              <w:spacing w:after="0"/>
              <w:rPr>
                <w:rFonts w:cstheme="minorHAnsi"/>
                <w:color w:val="000000" w:themeColor="text1"/>
              </w:rPr>
            </w:pPr>
            <w:proofErr w:type="gramStart"/>
            <w:r w:rsidRPr="00E10AF0">
              <w:rPr>
                <w:rFonts w:cstheme="minorHAnsi"/>
              </w:rPr>
              <w:t>.KRMAPR</w:t>
            </w:r>
            <w:proofErr w:type="gramEnd"/>
          </w:p>
        </w:tc>
        <w:tc>
          <w:tcPr>
            <w:tcW w:w="1842" w:type="dxa"/>
            <w:tcBorders>
              <w:top w:val="nil"/>
              <w:left w:val="nil"/>
              <w:right w:val="single" w:sz="8" w:space="0" w:color="auto"/>
            </w:tcBorders>
            <w:noWrap/>
            <w:tcMar>
              <w:top w:w="0" w:type="dxa"/>
              <w:left w:w="70" w:type="dxa"/>
              <w:bottom w:w="0" w:type="dxa"/>
              <w:right w:w="70" w:type="dxa"/>
            </w:tcMar>
            <w:vAlign w:val="center"/>
          </w:tcPr>
          <w:p w14:paraId="6D6E548C" w14:textId="77777777" w:rsidR="00355F52" w:rsidRPr="00E10AF0" w:rsidRDefault="00355F52" w:rsidP="00C12819">
            <w:pPr>
              <w:spacing w:after="0"/>
              <w:rPr>
                <w:rFonts w:cstheme="minorHAnsi"/>
                <w:color w:val="000000" w:themeColor="text1"/>
              </w:rPr>
            </w:pPr>
            <w:r w:rsidRPr="00E10AF0">
              <w:rPr>
                <w:rFonts w:cstheme="minorHAnsi"/>
              </w:rPr>
              <w:t>DE000SLA1938</w:t>
            </w:r>
          </w:p>
        </w:tc>
      </w:tr>
      <w:tr w:rsidR="00355F52" w:rsidRPr="00E10AF0" w14:paraId="5B81F1DE" w14:textId="77777777" w:rsidTr="00C12819">
        <w:trPr>
          <w:trHeight w:val="201"/>
        </w:trPr>
        <w:tc>
          <w:tcPr>
            <w:tcW w:w="622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14:paraId="0856D3BA" w14:textId="77777777" w:rsidR="00355F52" w:rsidRPr="00E10AF0" w:rsidRDefault="00355F52" w:rsidP="00C12819">
            <w:pPr>
              <w:spacing w:after="0"/>
              <w:rPr>
                <w:rFonts w:cstheme="minorHAnsi"/>
                <w:color w:val="000000" w:themeColor="text1"/>
              </w:rPr>
            </w:pPr>
            <w:r w:rsidRPr="00E10AF0">
              <w:rPr>
                <w:rFonts w:cstheme="minorHAnsi"/>
                <w:color w:val="000000" w:themeColor="text1"/>
              </w:rPr>
              <w:t>Concinnity Conscious Companies GTR Index</w:t>
            </w:r>
          </w:p>
        </w:tc>
        <w:tc>
          <w:tcPr>
            <w:tcW w:w="1560"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06052CA3" w14:textId="77777777" w:rsidR="00355F52" w:rsidRPr="00E10AF0" w:rsidRDefault="00355F52" w:rsidP="00C12819">
            <w:pPr>
              <w:spacing w:after="0"/>
              <w:rPr>
                <w:rFonts w:cstheme="minorHAnsi"/>
                <w:color w:val="000000" w:themeColor="text1"/>
              </w:rPr>
            </w:pPr>
            <w:proofErr w:type="gramStart"/>
            <w:r w:rsidRPr="00E10AF0">
              <w:rPr>
                <w:rFonts w:cstheme="minorHAnsi"/>
              </w:rPr>
              <w:t>.KRMATR</w:t>
            </w:r>
            <w:proofErr w:type="gramEnd"/>
          </w:p>
        </w:tc>
        <w:tc>
          <w:tcPr>
            <w:tcW w:w="1842"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0F8E272F" w14:textId="77777777" w:rsidR="00355F52" w:rsidRPr="00E10AF0" w:rsidRDefault="00355F52" w:rsidP="00C12819">
            <w:pPr>
              <w:spacing w:after="0"/>
              <w:rPr>
                <w:rFonts w:cstheme="minorHAnsi"/>
                <w:color w:val="000000" w:themeColor="text1"/>
              </w:rPr>
            </w:pPr>
            <w:r w:rsidRPr="00E10AF0">
              <w:rPr>
                <w:rFonts w:cstheme="minorHAnsi"/>
              </w:rPr>
              <w:t>DE000SLA1946</w:t>
            </w:r>
          </w:p>
        </w:tc>
      </w:tr>
    </w:tbl>
    <w:p w14:paraId="2328A98B" w14:textId="77777777" w:rsidR="00355F52" w:rsidRPr="00E10AF0" w:rsidRDefault="00355F52" w:rsidP="00355F52">
      <w:pPr>
        <w:spacing w:after="0"/>
        <w:rPr>
          <w:rFonts w:cstheme="minorHAnsi"/>
          <w:b/>
          <w:bCs/>
          <w:lang w:val="en-GB"/>
        </w:rPr>
      </w:pPr>
    </w:p>
    <w:p w14:paraId="69FCEF71" w14:textId="77777777" w:rsidR="00355F52" w:rsidRPr="00E10AF0" w:rsidRDefault="00355F52" w:rsidP="00355F52">
      <w:pPr>
        <w:pStyle w:val="NormalWeb"/>
        <w:spacing w:before="0" w:beforeAutospacing="0"/>
        <w:rPr>
          <w:rFonts w:asciiTheme="minorHAnsi" w:hAnsiTheme="minorHAnsi" w:cstheme="minorHAnsi"/>
          <w:b/>
          <w:bCs/>
          <w:color w:val="000000"/>
          <w:sz w:val="28"/>
          <w:szCs w:val="28"/>
          <w:u w:val="single"/>
        </w:rPr>
      </w:pPr>
      <w:r w:rsidRPr="00E10AF0">
        <w:rPr>
          <w:rFonts w:asciiTheme="minorHAnsi" w:hAnsiTheme="minorHAnsi" w:cstheme="minorHAnsi"/>
          <w:b/>
          <w:bCs/>
          <w:color w:val="000000"/>
          <w:sz w:val="28"/>
          <w:szCs w:val="28"/>
          <w:u w:val="single"/>
        </w:rPr>
        <w:t>Rationale for Market Consultation</w:t>
      </w:r>
    </w:p>
    <w:p w14:paraId="277AB9DD" w14:textId="77777777" w:rsidR="00355F52" w:rsidRPr="00E10AF0" w:rsidRDefault="00355F52" w:rsidP="00E10AF0">
      <w:pPr>
        <w:spacing w:after="0"/>
        <w:jc w:val="both"/>
        <w:rPr>
          <w:rFonts w:cstheme="minorHAnsi"/>
          <w:color w:val="000000"/>
        </w:rPr>
      </w:pPr>
      <w:r w:rsidRPr="00E10AF0">
        <w:rPr>
          <w:rFonts w:cstheme="minorHAnsi"/>
          <w:color w:val="000000"/>
        </w:rPr>
        <w:t>The Concinnity Conscious Companies Index is designed to provide exposure to U.S.-listed companies that the Index Owner believes appear to achieve financial performance in a sustainable and responsible manner, as measured by their ability to achieve positive outcomes that are consistent with a Multi-stakeholder Operating System (</w:t>
      </w:r>
      <w:proofErr w:type="spellStart"/>
      <w:r w:rsidRPr="00E10AF0">
        <w:rPr>
          <w:rFonts w:cstheme="minorHAnsi"/>
          <w:color w:val="000000"/>
        </w:rPr>
        <w:t>MsOS</w:t>
      </w:r>
      <w:proofErr w:type="spellEnd"/>
      <w:r w:rsidRPr="00E10AF0">
        <w:rPr>
          <w:rFonts w:cstheme="minorHAnsi"/>
          <w:color w:val="000000"/>
        </w:rPr>
        <w:t>).</w:t>
      </w:r>
    </w:p>
    <w:p w14:paraId="2A3917C5" w14:textId="77777777" w:rsidR="00355F52" w:rsidRPr="00E10AF0" w:rsidRDefault="00355F52" w:rsidP="00355F52">
      <w:pPr>
        <w:pStyle w:val="NormalWeb"/>
        <w:jc w:val="both"/>
        <w:rPr>
          <w:rFonts w:asciiTheme="minorHAnsi" w:hAnsiTheme="minorHAnsi" w:cstheme="minorHAnsi"/>
          <w:color w:val="000000"/>
          <w:sz w:val="22"/>
          <w:szCs w:val="22"/>
        </w:rPr>
      </w:pPr>
      <w:r w:rsidRPr="00E10AF0">
        <w:rPr>
          <w:rFonts w:asciiTheme="minorHAnsi" w:hAnsiTheme="minorHAnsi" w:cstheme="minorHAnsi"/>
          <w:color w:val="000000"/>
          <w:sz w:val="22"/>
          <w:szCs w:val="22"/>
        </w:rPr>
        <w:t xml:space="preserve">The Index was launched in 2015 as an equal weight portfolio. Beginning in 2018, the continued outperformance of a select group of mega cap stocks produced severe top-heaviness in the benchmark, the </w:t>
      </w:r>
      <w:proofErr w:type="spellStart"/>
      <w:r w:rsidRPr="00E10AF0">
        <w:rPr>
          <w:rFonts w:asciiTheme="minorHAnsi" w:hAnsiTheme="minorHAnsi" w:cstheme="minorHAnsi"/>
          <w:color w:val="000000"/>
          <w:sz w:val="22"/>
          <w:szCs w:val="22"/>
        </w:rPr>
        <w:t>Solactive</w:t>
      </w:r>
      <w:proofErr w:type="spellEnd"/>
      <w:r w:rsidRPr="00E10AF0">
        <w:rPr>
          <w:rFonts w:asciiTheme="minorHAnsi" w:hAnsiTheme="minorHAnsi" w:cstheme="minorHAnsi"/>
          <w:color w:val="000000"/>
          <w:sz w:val="22"/>
          <w:szCs w:val="22"/>
        </w:rPr>
        <w:t xml:space="preserve"> U.S. Large Cap Index (comparable to the S&amp;P 500 Index), with the largest companies eventually becoming approximately 7% of the benchmark. This subsequently resulted in significant stock-specific risk due to the equal weighting of portfolio names. In 2020, the Concinnity Conscious Companies Index implemented an adjustment to mega cap names in the portfolio to mitigate this stock-specific risk. However, the top-heaviness has continued to </w:t>
      </w:r>
      <w:proofErr w:type="gramStart"/>
      <w:r w:rsidRPr="00E10AF0">
        <w:rPr>
          <w:rFonts w:asciiTheme="minorHAnsi" w:hAnsiTheme="minorHAnsi" w:cstheme="minorHAnsi"/>
          <w:color w:val="000000"/>
          <w:sz w:val="22"/>
          <w:szCs w:val="22"/>
        </w:rPr>
        <w:t>grow</w:t>
      </w:r>
      <w:proofErr w:type="gramEnd"/>
      <w:r w:rsidRPr="00E10AF0">
        <w:rPr>
          <w:rFonts w:asciiTheme="minorHAnsi" w:hAnsiTheme="minorHAnsi" w:cstheme="minorHAnsi"/>
          <w:color w:val="000000"/>
          <w:sz w:val="22"/>
          <w:szCs w:val="22"/>
        </w:rPr>
        <w:t xml:space="preserve"> and this adjustment still leaves the Index with substantial mega cap underweights.</w:t>
      </w:r>
    </w:p>
    <w:p w14:paraId="6B51BB27" w14:textId="77777777" w:rsidR="00355F52" w:rsidRPr="00E10AF0" w:rsidRDefault="00355F52" w:rsidP="00355F52">
      <w:pPr>
        <w:spacing w:after="0"/>
        <w:rPr>
          <w:rFonts w:cstheme="minorHAnsi"/>
          <w:iCs/>
          <w:lang w:val="en-GB"/>
        </w:rPr>
      </w:pPr>
      <w:r w:rsidRPr="00E10AF0">
        <w:rPr>
          <w:rFonts w:cstheme="minorHAnsi"/>
        </w:rPr>
        <w:t>The Index Owner proposes a more comprehensive adjustment for this weighting problem that will reduce any large stock-specific risk from companies in the portfolio.</w:t>
      </w:r>
    </w:p>
    <w:p w14:paraId="3985B829" w14:textId="77777777" w:rsidR="00355F52" w:rsidRPr="00E10AF0" w:rsidRDefault="00355F52" w:rsidP="00355F52">
      <w:pPr>
        <w:pStyle w:val="NormalWeb"/>
        <w:jc w:val="both"/>
        <w:rPr>
          <w:rFonts w:asciiTheme="minorHAnsi" w:hAnsiTheme="minorHAnsi" w:cstheme="minorHAnsi"/>
          <w:color w:val="000000"/>
          <w:sz w:val="22"/>
          <w:szCs w:val="22"/>
        </w:rPr>
      </w:pPr>
      <w:r w:rsidRPr="00E10AF0">
        <w:rPr>
          <w:rFonts w:asciiTheme="minorHAnsi" w:hAnsiTheme="minorHAnsi" w:cstheme="minorHAnsi"/>
          <w:color w:val="000000"/>
          <w:sz w:val="22"/>
          <w:szCs w:val="22"/>
        </w:rPr>
        <w:t xml:space="preserve">The Index Owner proposes to adjust the weighting mechanism described in Section 2.1 and 2.2 from </w:t>
      </w:r>
      <w:r w:rsidRPr="00E10AF0">
        <w:rPr>
          <w:rFonts w:asciiTheme="minorHAnsi" w:hAnsiTheme="minorHAnsi" w:cstheme="minorHAnsi"/>
          <w:i/>
          <w:color w:val="000000"/>
          <w:sz w:val="22"/>
          <w:szCs w:val="22"/>
        </w:rPr>
        <w:t>equal weighted with adjustments for size</w:t>
      </w:r>
      <w:r w:rsidRPr="00E10AF0">
        <w:rPr>
          <w:rFonts w:asciiTheme="minorHAnsi" w:hAnsiTheme="minorHAnsi" w:cstheme="minorHAnsi"/>
          <w:color w:val="000000"/>
          <w:sz w:val="22"/>
          <w:szCs w:val="22"/>
        </w:rPr>
        <w:t xml:space="preserve"> to a weighting scheme that evenly spreads </w:t>
      </w:r>
      <w:proofErr w:type="spellStart"/>
      <w:r w:rsidRPr="00E10AF0">
        <w:rPr>
          <w:rFonts w:asciiTheme="minorHAnsi" w:hAnsiTheme="minorHAnsi" w:cstheme="minorHAnsi"/>
          <w:color w:val="000000"/>
          <w:sz w:val="22"/>
          <w:szCs w:val="22"/>
        </w:rPr>
        <w:t>overweights</w:t>
      </w:r>
      <w:proofErr w:type="spellEnd"/>
      <w:r w:rsidRPr="00E10AF0">
        <w:rPr>
          <w:rFonts w:asciiTheme="minorHAnsi" w:hAnsiTheme="minorHAnsi" w:cstheme="minorHAnsi"/>
          <w:color w:val="000000"/>
          <w:sz w:val="22"/>
          <w:szCs w:val="22"/>
        </w:rPr>
        <w:t xml:space="preserve"> throughout the fund. Each stock will receive the same active overweight, while active underweights will exclusively be stocks not included in the Index. In this “equal active </w:t>
      </w:r>
      <w:proofErr w:type="spellStart"/>
      <w:r w:rsidRPr="00E10AF0">
        <w:rPr>
          <w:rFonts w:asciiTheme="minorHAnsi" w:hAnsiTheme="minorHAnsi" w:cstheme="minorHAnsi"/>
          <w:color w:val="000000"/>
          <w:sz w:val="22"/>
          <w:szCs w:val="22"/>
        </w:rPr>
        <w:t>overweights</w:t>
      </w:r>
      <w:proofErr w:type="spellEnd"/>
      <w:r w:rsidRPr="00E10AF0">
        <w:rPr>
          <w:rFonts w:asciiTheme="minorHAnsi" w:hAnsiTheme="minorHAnsi" w:cstheme="minorHAnsi"/>
          <w:color w:val="000000"/>
          <w:sz w:val="22"/>
          <w:szCs w:val="22"/>
        </w:rPr>
        <w:t xml:space="preserve">” scheme, each constituent’s weighting begins by receiving its assigned weight in the benchmark, the </w:t>
      </w:r>
      <w:proofErr w:type="spellStart"/>
      <w:r w:rsidRPr="00E10AF0">
        <w:rPr>
          <w:rFonts w:asciiTheme="minorHAnsi" w:hAnsiTheme="minorHAnsi" w:cstheme="minorHAnsi"/>
          <w:color w:val="000000"/>
          <w:sz w:val="22"/>
          <w:szCs w:val="22"/>
        </w:rPr>
        <w:t>Solactive</w:t>
      </w:r>
      <w:proofErr w:type="spellEnd"/>
      <w:r w:rsidRPr="00E10AF0">
        <w:rPr>
          <w:rFonts w:asciiTheme="minorHAnsi" w:hAnsiTheme="minorHAnsi" w:cstheme="minorHAnsi"/>
          <w:color w:val="000000"/>
          <w:sz w:val="22"/>
          <w:szCs w:val="22"/>
        </w:rPr>
        <w:t xml:space="preserve"> U.S. Large Cap Index. The remainder (the remaining weight of all stocks within the benchmark that are not included in the Index) is then equally distributed across all stocks in the Index.</w:t>
      </w:r>
    </w:p>
    <w:p w14:paraId="59F6D36F" w14:textId="77777777" w:rsidR="00355F52" w:rsidRPr="00E10AF0" w:rsidRDefault="00355F52" w:rsidP="00355F52">
      <w:pPr>
        <w:pStyle w:val="NormalWeb"/>
        <w:jc w:val="both"/>
        <w:rPr>
          <w:rFonts w:asciiTheme="minorHAnsi" w:hAnsiTheme="minorHAnsi" w:cstheme="minorHAnsi"/>
          <w:color w:val="000000"/>
          <w:sz w:val="22"/>
          <w:szCs w:val="22"/>
        </w:rPr>
      </w:pPr>
      <w:r w:rsidRPr="00E10AF0">
        <w:rPr>
          <w:rFonts w:asciiTheme="minorHAnsi" w:hAnsiTheme="minorHAnsi" w:cstheme="minorHAnsi"/>
          <w:color w:val="000000"/>
          <w:sz w:val="22"/>
          <w:szCs w:val="22"/>
        </w:rPr>
        <w:t>The proposed adjustment is a more comprehensive solution and is far more adaptive to market cap fluctuations within the benchmark, especially considering that the Indices will be rebalanced quarterly to reflect these market cap fluctuations within the benchmark.</w:t>
      </w:r>
    </w:p>
    <w:p w14:paraId="6D1A41A8" w14:textId="77777777" w:rsidR="00355F52" w:rsidRPr="00E10AF0" w:rsidRDefault="00355F52" w:rsidP="00355F52">
      <w:pPr>
        <w:pStyle w:val="NormalWeb"/>
        <w:jc w:val="both"/>
        <w:rPr>
          <w:rFonts w:asciiTheme="minorHAnsi" w:hAnsiTheme="minorHAnsi" w:cstheme="minorHAnsi"/>
          <w:color w:val="000000"/>
          <w:sz w:val="22"/>
          <w:szCs w:val="22"/>
        </w:rPr>
      </w:pPr>
      <w:r w:rsidRPr="00E10AF0">
        <w:rPr>
          <w:rFonts w:asciiTheme="minorHAnsi" w:hAnsiTheme="minorHAnsi" w:cstheme="minorHAnsi"/>
          <w:color w:val="000000"/>
          <w:sz w:val="22"/>
          <w:szCs w:val="22"/>
        </w:rPr>
        <w:t xml:space="preserve">Overall, the proposed adjustment to the weighting methodology of the Affected Indices is a risk-reducing measure that will significantly improve benchmark tracking error by equalizing active </w:t>
      </w:r>
      <w:proofErr w:type="spellStart"/>
      <w:r w:rsidRPr="00E10AF0">
        <w:rPr>
          <w:rFonts w:asciiTheme="minorHAnsi" w:hAnsiTheme="minorHAnsi" w:cstheme="minorHAnsi"/>
          <w:color w:val="000000"/>
          <w:sz w:val="22"/>
          <w:szCs w:val="22"/>
        </w:rPr>
        <w:t>overweights</w:t>
      </w:r>
      <w:proofErr w:type="spellEnd"/>
      <w:r w:rsidRPr="00E10AF0">
        <w:rPr>
          <w:rFonts w:asciiTheme="minorHAnsi" w:hAnsiTheme="minorHAnsi" w:cstheme="minorHAnsi"/>
          <w:color w:val="000000"/>
          <w:sz w:val="22"/>
          <w:szCs w:val="22"/>
        </w:rPr>
        <w:t xml:space="preserve"> across the Indices. This adjustment only </w:t>
      </w:r>
      <w:proofErr w:type="gramStart"/>
      <w:r w:rsidRPr="00E10AF0">
        <w:rPr>
          <w:rFonts w:asciiTheme="minorHAnsi" w:hAnsiTheme="minorHAnsi" w:cstheme="minorHAnsi"/>
          <w:color w:val="000000"/>
          <w:sz w:val="22"/>
          <w:szCs w:val="22"/>
        </w:rPr>
        <w:t>effects</w:t>
      </w:r>
      <w:proofErr w:type="gramEnd"/>
      <w:r w:rsidRPr="00E10AF0">
        <w:rPr>
          <w:rFonts w:asciiTheme="minorHAnsi" w:hAnsiTheme="minorHAnsi" w:cstheme="minorHAnsi"/>
          <w:color w:val="000000"/>
          <w:sz w:val="22"/>
          <w:szCs w:val="22"/>
        </w:rPr>
        <w:t xml:space="preserve"> the weighting scheme of the portfolio, will have no effect on the underlying research process used to initially construct the Indices, and the same names will remain in the portfolio.</w:t>
      </w:r>
    </w:p>
    <w:p w14:paraId="2C0DC746" w14:textId="368D0AD4" w:rsidR="00E10AF0" w:rsidRDefault="00355F52" w:rsidP="00193249">
      <w:pPr>
        <w:pStyle w:val="NormalWeb"/>
        <w:spacing w:before="0" w:beforeAutospacing="0" w:after="0" w:afterAutospacing="0"/>
        <w:jc w:val="both"/>
        <w:rPr>
          <w:rFonts w:asciiTheme="minorHAnsi" w:hAnsiTheme="minorHAnsi" w:cstheme="minorHAnsi"/>
          <w:color w:val="000000"/>
          <w:sz w:val="22"/>
          <w:szCs w:val="22"/>
        </w:rPr>
      </w:pPr>
      <w:r w:rsidRPr="00E10AF0">
        <w:rPr>
          <w:rFonts w:asciiTheme="minorHAnsi" w:hAnsiTheme="minorHAnsi" w:cstheme="minorHAnsi"/>
          <w:color w:val="000000"/>
          <w:sz w:val="22"/>
          <w:szCs w:val="22"/>
        </w:rPr>
        <w:lastRenderedPageBreak/>
        <w:t>Further detail available</w:t>
      </w:r>
      <w:r w:rsidR="009B3DF2" w:rsidRPr="00E10AF0">
        <w:rPr>
          <w:rFonts w:asciiTheme="minorHAnsi" w:hAnsiTheme="minorHAnsi" w:cstheme="minorHAnsi"/>
          <w:color w:val="000000"/>
          <w:sz w:val="22"/>
          <w:szCs w:val="22"/>
        </w:rPr>
        <w:t xml:space="preserve"> via </w:t>
      </w:r>
      <w:r w:rsidR="00193249">
        <w:rPr>
          <w:rFonts w:asciiTheme="minorHAnsi" w:hAnsiTheme="minorHAnsi" w:cstheme="minorHAnsi"/>
          <w:color w:val="000000"/>
          <w:sz w:val="22"/>
          <w:szCs w:val="22"/>
        </w:rPr>
        <w:t>this link</w:t>
      </w:r>
      <w:r w:rsidR="00C33505">
        <w:rPr>
          <w:rFonts w:asciiTheme="minorHAnsi" w:hAnsiTheme="minorHAnsi" w:cstheme="minorHAnsi"/>
          <w:color w:val="000000"/>
          <w:sz w:val="22"/>
          <w:szCs w:val="22"/>
        </w:rPr>
        <w:t xml:space="preserve">, </w:t>
      </w:r>
      <w:r w:rsidR="00C33505">
        <w:rPr>
          <w:rFonts w:asciiTheme="minorHAnsi" w:hAnsiTheme="minorHAnsi" w:cstheme="minorHAnsi"/>
          <w:sz w:val="22"/>
          <w:szCs w:val="22"/>
        </w:rPr>
        <w:t>p</w:t>
      </w:r>
      <w:r w:rsidR="00C33505" w:rsidRPr="00E10AF0">
        <w:rPr>
          <w:rFonts w:asciiTheme="minorHAnsi" w:hAnsiTheme="minorHAnsi" w:cstheme="minorHAnsi"/>
          <w:sz w:val="22"/>
          <w:szCs w:val="22"/>
        </w:rPr>
        <w:t>lease see “Appendix” tab under Market Consultation (02/02/2024)</w:t>
      </w:r>
      <w:r w:rsidR="009B3DF2" w:rsidRPr="00E10AF0">
        <w:rPr>
          <w:rFonts w:asciiTheme="minorHAnsi" w:hAnsiTheme="minorHAnsi" w:cstheme="minorHAnsi"/>
          <w:color w:val="000000"/>
          <w:sz w:val="22"/>
          <w:szCs w:val="22"/>
        </w:rPr>
        <w:t>:</w:t>
      </w:r>
      <w:r w:rsidR="00E10AF0">
        <w:rPr>
          <w:rFonts w:asciiTheme="minorHAnsi" w:hAnsiTheme="minorHAnsi" w:cstheme="minorHAnsi"/>
          <w:color w:val="000000"/>
          <w:sz w:val="22"/>
          <w:szCs w:val="22"/>
        </w:rPr>
        <w:t xml:space="preserve"> </w:t>
      </w:r>
    </w:p>
    <w:p w14:paraId="0901F8AE" w14:textId="18A27922" w:rsidR="009B3DF2" w:rsidRPr="00037BD1" w:rsidRDefault="00000000" w:rsidP="00E10AF0">
      <w:pPr>
        <w:pStyle w:val="NormalWeb"/>
        <w:spacing w:before="0" w:beforeAutospacing="0" w:after="0" w:afterAutospacing="0"/>
        <w:rPr>
          <w:rFonts w:asciiTheme="minorHAnsi" w:hAnsiTheme="minorHAnsi" w:cstheme="minorHAnsi"/>
          <w:color w:val="4472C4" w:themeColor="accent1"/>
          <w:sz w:val="22"/>
          <w:szCs w:val="22"/>
          <w:u w:val="single"/>
        </w:rPr>
      </w:pPr>
      <w:hyperlink r:id="rId5" w:history="1">
        <w:r w:rsidR="009B3DF2" w:rsidRPr="00037BD1">
          <w:rPr>
            <w:rStyle w:val="Hyperlink"/>
            <w:rFonts w:asciiTheme="minorHAnsi" w:hAnsiTheme="minorHAnsi" w:cstheme="minorHAnsi"/>
            <w:color w:val="4472C4" w:themeColor="accent1"/>
            <w:sz w:val="22"/>
            <w:szCs w:val="22"/>
          </w:rPr>
          <w:t xml:space="preserve">Conscious Companies Index | </w:t>
        </w:r>
        <w:proofErr w:type="spellStart"/>
        <w:r w:rsidR="009B3DF2" w:rsidRPr="00037BD1">
          <w:rPr>
            <w:rStyle w:val="Hyperlink"/>
            <w:rFonts w:asciiTheme="minorHAnsi" w:hAnsiTheme="minorHAnsi" w:cstheme="minorHAnsi"/>
            <w:color w:val="4472C4" w:themeColor="accent1"/>
            <w:sz w:val="22"/>
            <w:szCs w:val="22"/>
          </w:rPr>
          <w:t>concinnity_live</w:t>
        </w:r>
        <w:proofErr w:type="spellEnd"/>
        <w:r w:rsidR="009B3DF2" w:rsidRPr="00037BD1">
          <w:rPr>
            <w:rStyle w:val="Hyperlink"/>
            <w:rFonts w:asciiTheme="minorHAnsi" w:hAnsiTheme="minorHAnsi" w:cstheme="minorHAnsi"/>
            <w:color w:val="4472C4" w:themeColor="accent1"/>
            <w:sz w:val="22"/>
            <w:szCs w:val="22"/>
          </w:rPr>
          <w:t xml:space="preserve"> (concinnityadvisors.com)</w:t>
        </w:r>
      </w:hyperlink>
    </w:p>
    <w:p w14:paraId="7CD0CB2C" w14:textId="3974A55B" w:rsidR="005C4FDD" w:rsidRPr="00E10AF0" w:rsidRDefault="005C4FDD" w:rsidP="00355F52">
      <w:pPr>
        <w:pStyle w:val="NormalWeb"/>
        <w:spacing w:after="0" w:afterAutospacing="0"/>
        <w:rPr>
          <w:rFonts w:asciiTheme="minorHAnsi" w:hAnsiTheme="minorHAnsi" w:cstheme="minorHAnsi"/>
          <w:sz w:val="22"/>
          <w:szCs w:val="22"/>
        </w:rPr>
      </w:pPr>
      <w:r w:rsidRPr="00E10AF0">
        <w:rPr>
          <w:rFonts w:asciiTheme="minorHAnsi" w:hAnsiTheme="minorHAnsi" w:cstheme="minorHAnsi"/>
          <w:sz w:val="22"/>
          <w:szCs w:val="22"/>
        </w:rPr>
        <w:t>For direct download, please use this link:</w:t>
      </w:r>
    </w:p>
    <w:p w14:paraId="6C1183F7" w14:textId="6079D6DE" w:rsidR="005C4FDD" w:rsidRPr="00037BD1" w:rsidRDefault="005C4FDD" w:rsidP="00E10AF0">
      <w:pPr>
        <w:pStyle w:val="NormalWeb"/>
        <w:spacing w:before="0" w:beforeAutospacing="0" w:after="0" w:afterAutospacing="0"/>
        <w:rPr>
          <w:rFonts w:asciiTheme="minorHAnsi" w:hAnsiTheme="minorHAnsi" w:cstheme="minorHAnsi"/>
          <w:color w:val="4472C4" w:themeColor="accent1"/>
          <w:sz w:val="22"/>
          <w:szCs w:val="22"/>
          <w:u w:val="single"/>
        </w:rPr>
      </w:pPr>
      <w:r w:rsidRPr="00037BD1">
        <w:rPr>
          <w:rFonts w:asciiTheme="minorHAnsi" w:hAnsiTheme="minorHAnsi" w:cstheme="minorHAnsi"/>
          <w:color w:val="4472C4" w:themeColor="accent1"/>
          <w:sz w:val="22"/>
          <w:szCs w:val="22"/>
          <w:u w:val="single"/>
        </w:rPr>
        <w:t>https://www.concinnityadvisors.com/_files/ugd/0adbf6_eb81d14333524151a2d5b90578aecff4.pptx?dn=Market_Consultation_Appendix_KRMA_20240202.pptx</w:t>
      </w:r>
    </w:p>
    <w:p w14:paraId="2B98846D" w14:textId="77777777" w:rsidR="00355F52" w:rsidRPr="00E10AF0" w:rsidRDefault="00355F52" w:rsidP="00355F52">
      <w:pPr>
        <w:pStyle w:val="NormalWeb"/>
        <w:spacing w:after="0" w:afterAutospacing="0"/>
        <w:rPr>
          <w:rFonts w:asciiTheme="minorHAnsi" w:hAnsiTheme="minorHAnsi" w:cstheme="minorHAnsi"/>
          <w:color w:val="000000"/>
          <w:sz w:val="28"/>
          <w:szCs w:val="28"/>
        </w:rPr>
      </w:pPr>
      <w:r w:rsidRPr="00E10AF0">
        <w:rPr>
          <w:rFonts w:asciiTheme="minorHAnsi" w:hAnsiTheme="minorHAnsi" w:cstheme="minorHAnsi"/>
          <w:b/>
          <w:bCs/>
          <w:sz w:val="28"/>
          <w:szCs w:val="28"/>
          <w:u w:val="single"/>
          <w:lang w:val="en-GB"/>
        </w:rPr>
        <w:t xml:space="preserve">Changes to the Index Guideline </w:t>
      </w:r>
      <w:r w:rsidRPr="00E10AF0">
        <w:rPr>
          <w:rFonts w:asciiTheme="minorHAnsi" w:hAnsiTheme="minorHAnsi" w:cstheme="minorHAnsi"/>
          <w:sz w:val="28"/>
          <w:szCs w:val="28"/>
          <w:u w:val="single"/>
          <w:lang w:val="en-GB"/>
        </w:rPr>
        <w:t>(highlighted)</w:t>
      </w:r>
    </w:p>
    <w:p w14:paraId="151D1DD2" w14:textId="77777777" w:rsidR="00355F52" w:rsidRPr="00E10AF0" w:rsidRDefault="00355F52" w:rsidP="00355F52">
      <w:pPr>
        <w:spacing w:after="0"/>
        <w:rPr>
          <w:rFonts w:cstheme="minorHAnsi"/>
          <w:b/>
          <w:bCs/>
          <w:u w:val="single"/>
          <w:lang w:val="en-GB"/>
        </w:rPr>
      </w:pPr>
    </w:p>
    <w:p w14:paraId="190DBB10" w14:textId="77777777" w:rsidR="00355F52" w:rsidRPr="00E10AF0" w:rsidRDefault="00355F52" w:rsidP="00355F52">
      <w:pPr>
        <w:spacing w:after="0"/>
        <w:rPr>
          <w:rFonts w:cstheme="minorHAnsi"/>
          <w:b/>
          <w:bCs/>
        </w:rPr>
      </w:pPr>
      <w:r w:rsidRPr="00E10AF0">
        <w:rPr>
          <w:rFonts w:cstheme="minorHAnsi"/>
          <w:b/>
          <w:bCs/>
          <w:color w:val="000000"/>
        </w:rPr>
        <w:t>Section 2.1 Selection of the Index Components</w:t>
      </w:r>
    </w:p>
    <w:p w14:paraId="3ECE0A03" w14:textId="77777777" w:rsidR="00355F52" w:rsidRPr="00E10AF0" w:rsidRDefault="00355F52" w:rsidP="00355F52">
      <w:pPr>
        <w:spacing w:after="0"/>
        <w:outlineLvl w:val="0"/>
        <w:rPr>
          <w:rFonts w:cstheme="minorHAnsi"/>
          <w:b/>
          <w:bCs/>
          <w:color w:val="000000"/>
          <w:u w:val="single"/>
        </w:rPr>
      </w:pPr>
      <w:r w:rsidRPr="00E10AF0">
        <w:rPr>
          <w:rFonts w:cstheme="minorHAnsi"/>
          <w:b/>
          <w:bCs/>
          <w:color w:val="000000"/>
          <w:u w:val="single"/>
        </w:rPr>
        <w:t>From:</w:t>
      </w:r>
    </w:p>
    <w:p w14:paraId="0162ED96" w14:textId="77777777" w:rsidR="00355F52" w:rsidRPr="00E10AF0" w:rsidRDefault="00355F52" w:rsidP="00355F52">
      <w:pPr>
        <w:spacing w:after="0"/>
        <w:outlineLvl w:val="0"/>
        <w:rPr>
          <w:rFonts w:cstheme="minorHAnsi"/>
          <w:color w:val="000000"/>
        </w:rPr>
      </w:pPr>
      <w:r w:rsidRPr="00E10AF0">
        <w:rPr>
          <w:rFonts w:cstheme="minorHAnsi"/>
          <w:color w:val="000000"/>
        </w:rPr>
        <w:t>“[…]</w:t>
      </w:r>
    </w:p>
    <w:p w14:paraId="4B413476" w14:textId="77777777" w:rsidR="00355F52" w:rsidRPr="00E10AF0" w:rsidRDefault="00355F52" w:rsidP="00355F52">
      <w:pPr>
        <w:spacing w:after="0"/>
        <w:rPr>
          <w:rFonts w:cstheme="minorHAnsi"/>
        </w:rPr>
      </w:pPr>
      <w:r w:rsidRPr="00E10AF0">
        <w:rPr>
          <w:rFonts w:cstheme="minorHAnsi"/>
        </w:rPr>
        <w:t xml:space="preserve">In the final component of the Index’s annual construction process, the Three-Year Repeaters are screened again for a minimum Market Capitalization of $2 billion and a minimum average daily trading value for the last 30 days greater than or equal to $4 million. The remaining Three-Year Repeaters are compiled and </w:t>
      </w:r>
      <w:r w:rsidRPr="00E10AF0">
        <w:rPr>
          <w:rFonts w:cstheme="minorHAnsi"/>
          <w:shd w:val="clear" w:color="auto" w:fill="FFFF66"/>
        </w:rPr>
        <w:t>are equal weighted with ongoing adjustments for extreme underweight exposures</w:t>
      </w:r>
      <w:r w:rsidRPr="00E10AF0">
        <w:rPr>
          <w:rFonts w:cstheme="minorHAnsi"/>
        </w:rPr>
        <w:t xml:space="preserve">. </w:t>
      </w:r>
    </w:p>
    <w:p w14:paraId="1F8669B6" w14:textId="77777777" w:rsidR="00355F52" w:rsidRPr="00E10AF0" w:rsidRDefault="00355F52" w:rsidP="00355F52">
      <w:pPr>
        <w:spacing w:after="0"/>
        <w:rPr>
          <w:rFonts w:cstheme="minorHAnsi"/>
        </w:rPr>
      </w:pPr>
    </w:p>
    <w:p w14:paraId="02923E11" w14:textId="77777777" w:rsidR="00355F52" w:rsidRPr="00E10AF0" w:rsidRDefault="00355F52" w:rsidP="00355F52">
      <w:pPr>
        <w:spacing w:after="0"/>
        <w:rPr>
          <w:rFonts w:cstheme="minorHAnsi"/>
        </w:rPr>
      </w:pPr>
      <w:r w:rsidRPr="00E10AF0">
        <w:rPr>
          <w:rFonts w:cstheme="minorHAnsi"/>
        </w:rPr>
        <w:t xml:space="preserve">Finally, the same process that is used to balance the Concinnity </w:t>
      </w:r>
      <w:proofErr w:type="spellStart"/>
      <w:r w:rsidRPr="00E10AF0">
        <w:rPr>
          <w:rFonts w:cstheme="minorHAnsi"/>
        </w:rPr>
        <w:t>MsOS</w:t>
      </w:r>
      <w:proofErr w:type="spellEnd"/>
      <w:r w:rsidRPr="00E10AF0">
        <w:rPr>
          <w:rFonts w:cstheme="minorHAnsi"/>
        </w:rPr>
        <w:t xml:space="preserve"> List (described in the Index Methodology document) is then used on the list of Three-Year Repeaters to balance sectors, beta, and tracking error vs the </w:t>
      </w:r>
      <w:proofErr w:type="spellStart"/>
      <w:r w:rsidRPr="00E10AF0">
        <w:rPr>
          <w:rFonts w:cstheme="minorHAnsi"/>
        </w:rPr>
        <w:t>Solactive</w:t>
      </w:r>
      <w:proofErr w:type="spellEnd"/>
      <w:r w:rsidRPr="00E10AF0">
        <w:rPr>
          <w:rFonts w:cstheme="minorHAnsi"/>
        </w:rPr>
        <w:t xml:space="preserve"> US Large Cap Index. The Concinnity Conscious Companies Index is balanced only by removing companies, rather than adding any non-Three-Year Repeaters. The remaining Three-Year Repeaters are </w:t>
      </w:r>
      <w:r w:rsidRPr="00E10AF0">
        <w:rPr>
          <w:rFonts w:cstheme="minorHAnsi"/>
          <w:shd w:val="clear" w:color="auto" w:fill="FFFF66"/>
        </w:rPr>
        <w:t>equal weighted with ongoing adjustments for extreme underweight exposures</w:t>
      </w:r>
      <w:r w:rsidRPr="00E10AF0">
        <w:rPr>
          <w:rFonts w:cstheme="minorHAnsi"/>
        </w:rPr>
        <w:t xml:space="preserve">, and the final output of this process is the creation of the Concinnity Conscious Companies Index, which in past years has consisted of 100-125 companies. </w:t>
      </w:r>
    </w:p>
    <w:p w14:paraId="3F63C893" w14:textId="77777777" w:rsidR="00355F52" w:rsidRPr="00E10AF0" w:rsidRDefault="00355F52" w:rsidP="00355F52">
      <w:pPr>
        <w:spacing w:after="0"/>
        <w:rPr>
          <w:rFonts w:cstheme="minorHAnsi"/>
          <w:caps/>
        </w:rPr>
      </w:pPr>
      <w:r w:rsidRPr="00E10AF0">
        <w:rPr>
          <w:rFonts w:cstheme="minorHAnsi"/>
          <w:caps/>
        </w:rPr>
        <w:t>[…]”</w:t>
      </w:r>
    </w:p>
    <w:p w14:paraId="7212844C" w14:textId="77777777" w:rsidR="00355F52" w:rsidRPr="00E10AF0" w:rsidRDefault="00355F52" w:rsidP="00355F52">
      <w:pPr>
        <w:spacing w:after="0"/>
        <w:rPr>
          <w:rFonts w:cstheme="minorHAnsi"/>
          <w:caps/>
        </w:rPr>
      </w:pPr>
    </w:p>
    <w:p w14:paraId="4B6A40BC" w14:textId="77777777" w:rsidR="00355F52" w:rsidRPr="00E10AF0" w:rsidRDefault="00355F52" w:rsidP="00355F52">
      <w:pPr>
        <w:spacing w:after="0"/>
        <w:rPr>
          <w:rFonts w:cstheme="minorHAnsi"/>
          <w:b/>
          <w:bCs/>
          <w:u w:val="single"/>
        </w:rPr>
      </w:pPr>
      <w:r w:rsidRPr="00E10AF0">
        <w:rPr>
          <w:rFonts w:cstheme="minorHAnsi"/>
          <w:b/>
          <w:bCs/>
          <w:u w:val="single"/>
        </w:rPr>
        <w:t>To:</w:t>
      </w:r>
    </w:p>
    <w:p w14:paraId="46424024" w14:textId="77777777" w:rsidR="00355F52" w:rsidRPr="00E10AF0" w:rsidRDefault="00355F52" w:rsidP="00355F52">
      <w:pPr>
        <w:spacing w:after="0"/>
        <w:rPr>
          <w:rFonts w:cstheme="minorHAnsi"/>
          <w:u w:val="single"/>
        </w:rPr>
      </w:pPr>
      <w:r w:rsidRPr="00E10AF0">
        <w:rPr>
          <w:rFonts w:cstheme="minorHAnsi"/>
          <w:u w:val="single"/>
        </w:rPr>
        <w:t>“[…]</w:t>
      </w:r>
    </w:p>
    <w:p w14:paraId="76A388BB" w14:textId="77777777" w:rsidR="00355F52" w:rsidRPr="00E10AF0" w:rsidRDefault="00355F52" w:rsidP="00355F52">
      <w:pPr>
        <w:spacing w:after="0"/>
        <w:rPr>
          <w:rFonts w:cstheme="minorHAnsi"/>
        </w:rPr>
      </w:pPr>
      <w:r w:rsidRPr="00E10AF0">
        <w:rPr>
          <w:rFonts w:cstheme="minorHAnsi"/>
        </w:rPr>
        <w:t xml:space="preserve">In the final component of the Index’s annual construction process, the Three-Year Repeaters are screened again for a minimum Market Capitalization of $2 billion and a minimum average daily trading value for the last 30 days greater than or equal to $4 million. The remaining Three-Year Repeaters are compiled and </w:t>
      </w:r>
      <w:r w:rsidRPr="00E10AF0">
        <w:rPr>
          <w:rFonts w:cstheme="minorHAnsi"/>
          <w:shd w:val="clear" w:color="auto" w:fill="FFFF66"/>
        </w:rPr>
        <w:t xml:space="preserve">assigned their benchmark weight with an equal weighting of any remainder </w:t>
      </w:r>
      <w:r w:rsidRPr="00E10AF0">
        <w:rPr>
          <w:rFonts w:cstheme="minorHAnsi"/>
          <w:iCs/>
          <w:shd w:val="clear" w:color="auto" w:fill="FFFF66"/>
          <w:lang w:val="en-GB"/>
        </w:rPr>
        <w:t xml:space="preserve">(the weight of all remaining stocks in the </w:t>
      </w:r>
      <w:proofErr w:type="spellStart"/>
      <w:r w:rsidRPr="00E10AF0">
        <w:rPr>
          <w:rFonts w:cstheme="minorHAnsi"/>
          <w:iCs/>
          <w:shd w:val="clear" w:color="auto" w:fill="FFFF66"/>
          <w:lang w:val="en-GB"/>
        </w:rPr>
        <w:t>Solactive</w:t>
      </w:r>
      <w:proofErr w:type="spellEnd"/>
      <w:r w:rsidRPr="00E10AF0">
        <w:rPr>
          <w:rFonts w:cstheme="minorHAnsi"/>
          <w:iCs/>
          <w:shd w:val="clear" w:color="auto" w:fill="FFFF66"/>
          <w:lang w:val="en-GB"/>
        </w:rPr>
        <w:t xml:space="preserve"> U.S. Large Cap Index but not in the </w:t>
      </w:r>
      <w:proofErr w:type="spellStart"/>
      <w:r w:rsidRPr="00E10AF0">
        <w:rPr>
          <w:rFonts w:cstheme="minorHAnsi"/>
          <w:iCs/>
          <w:shd w:val="clear" w:color="auto" w:fill="FFFF66"/>
          <w:lang w:val="en-GB"/>
        </w:rPr>
        <w:t>Concinnity</w:t>
      </w:r>
      <w:proofErr w:type="spellEnd"/>
      <w:r w:rsidRPr="00E10AF0">
        <w:rPr>
          <w:rFonts w:cstheme="minorHAnsi"/>
          <w:iCs/>
          <w:shd w:val="clear" w:color="auto" w:fill="FFFF66"/>
          <w:lang w:val="en-GB"/>
        </w:rPr>
        <w:t xml:space="preserve"> Conscious Companies Index)</w:t>
      </w:r>
      <w:r w:rsidRPr="00E10AF0">
        <w:rPr>
          <w:rFonts w:cstheme="minorHAnsi"/>
          <w:shd w:val="clear" w:color="auto" w:fill="FFFF66"/>
        </w:rPr>
        <w:t xml:space="preserve">, resulting in an “equal active </w:t>
      </w:r>
      <w:proofErr w:type="spellStart"/>
      <w:proofErr w:type="gramStart"/>
      <w:r w:rsidRPr="00E10AF0">
        <w:rPr>
          <w:rFonts w:cstheme="minorHAnsi"/>
          <w:shd w:val="clear" w:color="auto" w:fill="FFFF66"/>
        </w:rPr>
        <w:t>overweights</w:t>
      </w:r>
      <w:proofErr w:type="spellEnd"/>
      <w:r w:rsidRPr="00E10AF0">
        <w:rPr>
          <w:rFonts w:cstheme="minorHAnsi"/>
          <w:shd w:val="clear" w:color="auto" w:fill="FFFF66"/>
        </w:rPr>
        <w:t>“ weighting</w:t>
      </w:r>
      <w:proofErr w:type="gramEnd"/>
      <w:r w:rsidRPr="00E10AF0">
        <w:rPr>
          <w:rFonts w:cstheme="minorHAnsi"/>
          <w:shd w:val="clear" w:color="auto" w:fill="FFFF66"/>
        </w:rPr>
        <w:t xml:space="preserve"> scheme</w:t>
      </w:r>
      <w:r w:rsidRPr="00E10AF0">
        <w:rPr>
          <w:rFonts w:cstheme="minorHAnsi"/>
        </w:rPr>
        <w:t>.</w:t>
      </w:r>
    </w:p>
    <w:p w14:paraId="7AC15E19" w14:textId="77777777" w:rsidR="00355F52" w:rsidRPr="00E10AF0" w:rsidRDefault="00355F52" w:rsidP="00355F52">
      <w:pPr>
        <w:spacing w:after="0"/>
        <w:rPr>
          <w:rFonts w:cstheme="minorHAnsi"/>
        </w:rPr>
      </w:pPr>
    </w:p>
    <w:p w14:paraId="6743E223" w14:textId="77777777" w:rsidR="00355F52" w:rsidRPr="00E10AF0" w:rsidRDefault="00355F52" w:rsidP="00355F52">
      <w:pPr>
        <w:spacing w:after="0"/>
        <w:rPr>
          <w:rFonts w:cstheme="minorHAnsi"/>
        </w:rPr>
      </w:pPr>
      <w:r w:rsidRPr="00E10AF0">
        <w:rPr>
          <w:rFonts w:cstheme="minorHAnsi"/>
        </w:rPr>
        <w:t xml:space="preserve">Finally, the same process that is used to balance the Concinnity </w:t>
      </w:r>
      <w:proofErr w:type="spellStart"/>
      <w:r w:rsidRPr="00E10AF0">
        <w:rPr>
          <w:rFonts w:cstheme="minorHAnsi"/>
        </w:rPr>
        <w:t>MsOS</w:t>
      </w:r>
      <w:proofErr w:type="spellEnd"/>
      <w:r w:rsidRPr="00E10AF0">
        <w:rPr>
          <w:rFonts w:cstheme="minorHAnsi"/>
        </w:rPr>
        <w:t xml:space="preserve"> List (described in the Index Methodology document) is then used on the list of Three-Year Repeaters to balance sectors, beta, and tracking error vs the </w:t>
      </w:r>
      <w:proofErr w:type="spellStart"/>
      <w:r w:rsidRPr="00E10AF0">
        <w:rPr>
          <w:rFonts w:cstheme="minorHAnsi"/>
        </w:rPr>
        <w:t>Solactive</w:t>
      </w:r>
      <w:proofErr w:type="spellEnd"/>
      <w:r w:rsidRPr="00E10AF0">
        <w:rPr>
          <w:rFonts w:cstheme="minorHAnsi"/>
        </w:rPr>
        <w:t xml:space="preserve"> US Large Cap Index. The Concinnity Conscious Companies Index is balanced only by removing companies, rather than adding any non-Three-Year Repeaters. The remaining Three-Year Repeaters are </w:t>
      </w:r>
      <w:r w:rsidRPr="00E10AF0">
        <w:rPr>
          <w:rFonts w:cstheme="minorHAnsi"/>
          <w:shd w:val="clear" w:color="auto" w:fill="FFFF66"/>
        </w:rPr>
        <w:t xml:space="preserve">weighted as equal active </w:t>
      </w:r>
      <w:proofErr w:type="spellStart"/>
      <w:r w:rsidRPr="00E10AF0">
        <w:rPr>
          <w:rFonts w:cstheme="minorHAnsi"/>
          <w:shd w:val="clear" w:color="auto" w:fill="FFFF66"/>
        </w:rPr>
        <w:t>overweights</w:t>
      </w:r>
      <w:proofErr w:type="spellEnd"/>
      <w:r w:rsidRPr="00E10AF0">
        <w:rPr>
          <w:rFonts w:cstheme="minorHAnsi"/>
        </w:rPr>
        <w:t xml:space="preserve">, and the final output of this process is the creation of the Concinnity Conscious Companies Index, which in past years has consisted of 100-125 companies. </w:t>
      </w:r>
    </w:p>
    <w:p w14:paraId="324738B3" w14:textId="77777777" w:rsidR="00355F52" w:rsidRPr="00E10AF0" w:rsidRDefault="00355F52" w:rsidP="00355F52">
      <w:pPr>
        <w:spacing w:after="0"/>
        <w:rPr>
          <w:rFonts w:cstheme="minorHAnsi"/>
          <w:u w:val="single"/>
        </w:rPr>
      </w:pPr>
      <w:r w:rsidRPr="00E10AF0">
        <w:rPr>
          <w:rFonts w:cstheme="minorHAnsi"/>
        </w:rPr>
        <w:t>[…]”</w:t>
      </w:r>
    </w:p>
    <w:p w14:paraId="686BE0D1" w14:textId="77777777" w:rsidR="00355F52" w:rsidRPr="00E10AF0" w:rsidRDefault="00355F52" w:rsidP="00355F52">
      <w:pPr>
        <w:spacing w:after="0"/>
        <w:rPr>
          <w:rFonts w:cstheme="minorHAnsi"/>
        </w:rPr>
      </w:pPr>
    </w:p>
    <w:p w14:paraId="2E94980B" w14:textId="77777777" w:rsidR="00CD740B" w:rsidRDefault="00CD740B" w:rsidP="00355F52">
      <w:pPr>
        <w:spacing w:after="0"/>
        <w:rPr>
          <w:rFonts w:cstheme="minorHAnsi"/>
        </w:rPr>
      </w:pPr>
    </w:p>
    <w:p w14:paraId="499234FB" w14:textId="231D1AA9" w:rsidR="00355F52" w:rsidRPr="00E10AF0" w:rsidRDefault="00355F52" w:rsidP="00355F52">
      <w:pPr>
        <w:spacing w:after="0"/>
        <w:rPr>
          <w:rFonts w:cstheme="minorHAnsi"/>
          <w:b/>
          <w:bCs/>
        </w:rPr>
      </w:pPr>
      <w:r w:rsidRPr="00E10AF0">
        <w:rPr>
          <w:rFonts w:cstheme="minorHAnsi"/>
          <w:b/>
          <w:bCs/>
          <w:color w:val="000000"/>
        </w:rPr>
        <w:lastRenderedPageBreak/>
        <w:t>Section 2.2 Rebalance</w:t>
      </w:r>
    </w:p>
    <w:p w14:paraId="0907601F" w14:textId="77777777" w:rsidR="00355F52" w:rsidRPr="00E10AF0" w:rsidRDefault="00355F52" w:rsidP="00355F52">
      <w:pPr>
        <w:spacing w:after="0"/>
        <w:outlineLvl w:val="0"/>
        <w:rPr>
          <w:rFonts w:cstheme="minorHAnsi"/>
          <w:color w:val="000000"/>
        </w:rPr>
      </w:pPr>
    </w:p>
    <w:p w14:paraId="7AFF3E0E" w14:textId="77777777" w:rsidR="00355F52" w:rsidRPr="00E10AF0" w:rsidRDefault="00355F52" w:rsidP="00355F52">
      <w:pPr>
        <w:spacing w:after="0"/>
        <w:outlineLvl w:val="0"/>
        <w:rPr>
          <w:rFonts w:cstheme="minorHAnsi"/>
          <w:b/>
          <w:bCs/>
          <w:color w:val="000000"/>
          <w:u w:val="single"/>
        </w:rPr>
      </w:pPr>
      <w:r w:rsidRPr="00E10AF0">
        <w:rPr>
          <w:rFonts w:cstheme="minorHAnsi"/>
          <w:b/>
          <w:bCs/>
          <w:color w:val="000000"/>
          <w:u w:val="single"/>
        </w:rPr>
        <w:t>From:</w:t>
      </w:r>
    </w:p>
    <w:p w14:paraId="2CFC9327" w14:textId="77777777" w:rsidR="00355F52" w:rsidRPr="00E10AF0" w:rsidRDefault="00355F52" w:rsidP="00355F52">
      <w:pPr>
        <w:spacing w:after="0"/>
        <w:outlineLvl w:val="0"/>
        <w:rPr>
          <w:rFonts w:cstheme="minorHAnsi"/>
          <w:color w:val="000000"/>
        </w:rPr>
      </w:pPr>
      <w:r w:rsidRPr="00E10AF0">
        <w:rPr>
          <w:rFonts w:cstheme="minorHAnsi"/>
          <w:color w:val="000000"/>
        </w:rPr>
        <w:t>“[…]</w:t>
      </w:r>
    </w:p>
    <w:p w14:paraId="70A60094" w14:textId="77777777" w:rsidR="00355F52" w:rsidRPr="00E10AF0" w:rsidRDefault="00355F52" w:rsidP="00355F52">
      <w:pPr>
        <w:spacing w:after="0"/>
        <w:rPr>
          <w:rFonts w:cstheme="minorHAnsi"/>
        </w:rPr>
      </w:pPr>
      <w:r w:rsidRPr="00E10AF0">
        <w:rPr>
          <w:rFonts w:cstheme="minorHAnsi"/>
        </w:rPr>
        <w:t xml:space="preserve">The Index will be rebalanced quarterly, on the Selection Day of each of the following </w:t>
      </w:r>
      <w:proofErr w:type="gramStart"/>
      <w:r w:rsidRPr="00E10AF0">
        <w:rPr>
          <w:rFonts w:cstheme="minorHAnsi"/>
        </w:rPr>
        <w:t>months;</w:t>
      </w:r>
      <w:proofErr w:type="gramEnd"/>
      <w:r w:rsidRPr="00E10AF0">
        <w:rPr>
          <w:rFonts w:cstheme="minorHAnsi"/>
        </w:rPr>
        <w:t xml:space="preserve"> January, April, and July. The Index rebalance will be effective on the Adjustment Day of each of the following </w:t>
      </w:r>
      <w:proofErr w:type="gramStart"/>
      <w:r w:rsidRPr="00E10AF0">
        <w:rPr>
          <w:rFonts w:cstheme="minorHAnsi"/>
        </w:rPr>
        <w:t>months;</w:t>
      </w:r>
      <w:proofErr w:type="gramEnd"/>
      <w:r w:rsidRPr="00E10AF0">
        <w:rPr>
          <w:rFonts w:cstheme="minorHAnsi"/>
        </w:rPr>
        <w:t xml:space="preserve"> January, April, and July. The rebalance process starts with any necessary deletion of constituents, and then </w:t>
      </w:r>
      <w:r w:rsidRPr="00E10AF0">
        <w:rPr>
          <w:rFonts w:cstheme="minorHAnsi"/>
          <w:shd w:val="clear" w:color="auto" w:fill="FFFF66"/>
        </w:rPr>
        <w:t>the equal weighting with any adjustments for extreme underweight exposures of the remaining constituents</w:t>
      </w:r>
      <w:r w:rsidRPr="00E10AF0">
        <w:rPr>
          <w:rFonts w:cstheme="minorHAnsi"/>
        </w:rPr>
        <w:t xml:space="preserve">. Constituents can be deleted from the Index at the quarterly rebalance for: </w:t>
      </w:r>
    </w:p>
    <w:p w14:paraId="2B711D8F" w14:textId="77777777" w:rsidR="00355F52" w:rsidRPr="00E10AF0" w:rsidRDefault="00355F52" w:rsidP="00355F52">
      <w:pPr>
        <w:spacing w:after="0"/>
        <w:rPr>
          <w:rFonts w:cstheme="minorHAnsi"/>
        </w:rPr>
      </w:pPr>
    </w:p>
    <w:p w14:paraId="2D87D117" w14:textId="77777777" w:rsidR="00355F52" w:rsidRPr="00E10AF0" w:rsidRDefault="00355F52" w:rsidP="00355F52">
      <w:pPr>
        <w:spacing w:after="0"/>
        <w:ind w:firstLine="708"/>
        <w:rPr>
          <w:rFonts w:cstheme="minorHAnsi"/>
        </w:rPr>
      </w:pPr>
      <w:r w:rsidRPr="00E10AF0">
        <w:rPr>
          <w:rFonts w:cstheme="minorHAnsi"/>
        </w:rPr>
        <w:t xml:space="preserve">1) Falling below a $1.5 billion Market Capitalization </w:t>
      </w:r>
    </w:p>
    <w:p w14:paraId="4E6D2689" w14:textId="77777777" w:rsidR="00355F52" w:rsidRPr="00E10AF0" w:rsidRDefault="00355F52" w:rsidP="00355F52">
      <w:pPr>
        <w:spacing w:after="0"/>
        <w:ind w:firstLine="708"/>
        <w:rPr>
          <w:rFonts w:cstheme="minorHAnsi"/>
        </w:rPr>
      </w:pPr>
      <w:r w:rsidRPr="00E10AF0">
        <w:rPr>
          <w:rFonts w:cstheme="minorHAnsi"/>
        </w:rPr>
        <w:t xml:space="preserve">2) Having a minimum average daily trading value for the last 30 days of less than $3 million </w:t>
      </w:r>
    </w:p>
    <w:p w14:paraId="4C6C450A" w14:textId="77777777" w:rsidR="00355F52" w:rsidRPr="00E10AF0" w:rsidRDefault="00355F52" w:rsidP="00355F52">
      <w:pPr>
        <w:spacing w:after="0"/>
        <w:ind w:left="708"/>
        <w:rPr>
          <w:rFonts w:cstheme="minorHAnsi"/>
        </w:rPr>
      </w:pPr>
      <w:r w:rsidRPr="00E10AF0">
        <w:rPr>
          <w:rFonts w:cstheme="minorHAnsi"/>
        </w:rPr>
        <w:t xml:space="preserve">3) Extraordinary events relating to a company’s treatment of one (or more) of the </w:t>
      </w:r>
      <w:proofErr w:type="gramStart"/>
      <w:r w:rsidRPr="00E10AF0">
        <w:rPr>
          <w:rFonts w:cstheme="minorHAnsi"/>
        </w:rPr>
        <w:t>five  stakeholders</w:t>
      </w:r>
      <w:proofErr w:type="gramEnd"/>
      <w:r w:rsidRPr="00E10AF0">
        <w:rPr>
          <w:rFonts w:cstheme="minorHAnsi"/>
        </w:rPr>
        <w:t xml:space="preserve"> defined in the Introduction section, as determined by Concinnity Advisors, LP</w:t>
      </w:r>
    </w:p>
    <w:p w14:paraId="70A1605B" w14:textId="77777777" w:rsidR="00355F52" w:rsidRPr="00E10AF0" w:rsidRDefault="00355F52" w:rsidP="00355F52">
      <w:pPr>
        <w:spacing w:after="0"/>
        <w:rPr>
          <w:rFonts w:cstheme="minorHAnsi"/>
          <w:caps/>
        </w:rPr>
      </w:pPr>
      <w:r w:rsidRPr="00E10AF0">
        <w:rPr>
          <w:rFonts w:cstheme="minorHAnsi"/>
          <w:caps/>
        </w:rPr>
        <w:t>[…]”</w:t>
      </w:r>
    </w:p>
    <w:p w14:paraId="79FA6716" w14:textId="77777777" w:rsidR="00355F52" w:rsidRPr="00E10AF0" w:rsidRDefault="00355F52" w:rsidP="00355F52">
      <w:pPr>
        <w:spacing w:after="0"/>
        <w:ind w:left="708"/>
        <w:rPr>
          <w:rFonts w:cstheme="minorHAnsi"/>
        </w:rPr>
      </w:pPr>
    </w:p>
    <w:p w14:paraId="1651A3B7" w14:textId="77777777" w:rsidR="00355F52" w:rsidRPr="00E10AF0" w:rsidRDefault="00355F52" w:rsidP="00355F52">
      <w:pPr>
        <w:spacing w:after="0"/>
        <w:rPr>
          <w:rFonts w:cstheme="minorHAnsi"/>
          <w:b/>
          <w:bCs/>
          <w:u w:val="single"/>
        </w:rPr>
      </w:pPr>
      <w:r w:rsidRPr="00E10AF0">
        <w:rPr>
          <w:rFonts w:cstheme="minorHAnsi"/>
          <w:b/>
          <w:bCs/>
          <w:u w:val="single"/>
        </w:rPr>
        <w:t>To:</w:t>
      </w:r>
    </w:p>
    <w:p w14:paraId="55026C89" w14:textId="77777777" w:rsidR="00355F52" w:rsidRPr="00E10AF0" w:rsidRDefault="00355F52" w:rsidP="00355F52">
      <w:pPr>
        <w:spacing w:after="0"/>
        <w:outlineLvl w:val="0"/>
        <w:rPr>
          <w:rFonts w:cstheme="minorHAnsi"/>
          <w:color w:val="000000"/>
        </w:rPr>
      </w:pPr>
      <w:r w:rsidRPr="00E10AF0">
        <w:rPr>
          <w:rFonts w:cstheme="minorHAnsi"/>
          <w:color w:val="000000"/>
        </w:rPr>
        <w:t>“[…]</w:t>
      </w:r>
    </w:p>
    <w:p w14:paraId="590AA16E" w14:textId="12CA5E51" w:rsidR="00355F52" w:rsidRPr="00E10AF0" w:rsidRDefault="00355F52" w:rsidP="00355F52">
      <w:pPr>
        <w:spacing w:after="0"/>
        <w:rPr>
          <w:rFonts w:cstheme="minorHAnsi"/>
        </w:rPr>
      </w:pPr>
      <w:r w:rsidRPr="00E10AF0">
        <w:rPr>
          <w:rFonts w:cstheme="minorHAnsi"/>
        </w:rPr>
        <w:t xml:space="preserve">The Index will be rebalanced quarterly, on the Selection Day of each of the following </w:t>
      </w:r>
      <w:proofErr w:type="gramStart"/>
      <w:r w:rsidRPr="00E10AF0">
        <w:rPr>
          <w:rFonts w:cstheme="minorHAnsi"/>
        </w:rPr>
        <w:t>months;</w:t>
      </w:r>
      <w:proofErr w:type="gramEnd"/>
      <w:r w:rsidRPr="00E10AF0">
        <w:rPr>
          <w:rFonts w:cstheme="minorHAnsi"/>
        </w:rPr>
        <w:t xml:space="preserve"> January, April, and July. The Index rebalance will be effective on the Adjustment Day of each of the following </w:t>
      </w:r>
      <w:proofErr w:type="gramStart"/>
      <w:r w:rsidRPr="00E10AF0">
        <w:rPr>
          <w:rFonts w:cstheme="minorHAnsi"/>
        </w:rPr>
        <w:t>months;</w:t>
      </w:r>
      <w:proofErr w:type="gramEnd"/>
      <w:r w:rsidRPr="00E10AF0">
        <w:rPr>
          <w:rFonts w:cstheme="minorHAnsi"/>
        </w:rPr>
        <w:t xml:space="preserve"> January, April, and July. The rebalance process starts with any necessary deletion of constituents, and then </w:t>
      </w:r>
      <w:r w:rsidRPr="00E10AF0">
        <w:rPr>
          <w:rFonts w:cstheme="minorHAnsi"/>
          <w:shd w:val="clear" w:color="auto" w:fill="FFFF66"/>
        </w:rPr>
        <w:t>weights each constituent as an equal active overweight</w:t>
      </w:r>
      <w:r w:rsidRPr="00E10AF0">
        <w:rPr>
          <w:rFonts w:cstheme="minorHAnsi"/>
        </w:rPr>
        <w:t xml:space="preserve">. Constituents can be deleted from the Index at the quarterly rebalance for: </w:t>
      </w:r>
    </w:p>
    <w:p w14:paraId="07DFD4C0" w14:textId="77777777" w:rsidR="00355F52" w:rsidRPr="00E10AF0" w:rsidRDefault="00355F52" w:rsidP="00355F52">
      <w:pPr>
        <w:spacing w:after="0"/>
        <w:rPr>
          <w:rFonts w:cstheme="minorHAnsi"/>
        </w:rPr>
      </w:pPr>
    </w:p>
    <w:p w14:paraId="30F190C9" w14:textId="77777777" w:rsidR="00355F52" w:rsidRPr="00E10AF0" w:rsidRDefault="00355F52" w:rsidP="00355F52">
      <w:pPr>
        <w:spacing w:after="0"/>
        <w:ind w:firstLine="708"/>
        <w:rPr>
          <w:rFonts w:cstheme="minorHAnsi"/>
        </w:rPr>
      </w:pPr>
      <w:r w:rsidRPr="00E10AF0">
        <w:rPr>
          <w:rFonts w:cstheme="minorHAnsi"/>
        </w:rPr>
        <w:t xml:space="preserve">1) Falling below a $1.5 billion Market Capitalization </w:t>
      </w:r>
    </w:p>
    <w:p w14:paraId="3E4C29FD" w14:textId="77777777" w:rsidR="00355F52" w:rsidRPr="00E10AF0" w:rsidRDefault="00355F52" w:rsidP="00355F52">
      <w:pPr>
        <w:spacing w:after="0"/>
        <w:ind w:firstLine="708"/>
        <w:rPr>
          <w:rFonts w:cstheme="minorHAnsi"/>
        </w:rPr>
      </w:pPr>
      <w:r w:rsidRPr="00E10AF0">
        <w:rPr>
          <w:rFonts w:cstheme="minorHAnsi"/>
        </w:rPr>
        <w:t xml:space="preserve">2) Having a minimum average daily trading value for the last 30 days of less than $3 million </w:t>
      </w:r>
    </w:p>
    <w:p w14:paraId="0AF3A6E1" w14:textId="77777777" w:rsidR="00355F52" w:rsidRPr="00E10AF0" w:rsidRDefault="00355F52" w:rsidP="00355F52">
      <w:pPr>
        <w:spacing w:after="0"/>
        <w:ind w:left="708"/>
        <w:rPr>
          <w:rFonts w:cstheme="minorHAnsi"/>
        </w:rPr>
      </w:pPr>
      <w:r w:rsidRPr="00E10AF0">
        <w:rPr>
          <w:rFonts w:cstheme="minorHAnsi"/>
        </w:rPr>
        <w:t xml:space="preserve">3) Extraordinary events relating to a company’s treatment of one (or more) of the </w:t>
      </w:r>
      <w:proofErr w:type="gramStart"/>
      <w:r w:rsidRPr="00E10AF0">
        <w:rPr>
          <w:rFonts w:cstheme="minorHAnsi"/>
        </w:rPr>
        <w:t>five  stakeholders</w:t>
      </w:r>
      <w:proofErr w:type="gramEnd"/>
      <w:r w:rsidRPr="00E10AF0">
        <w:rPr>
          <w:rFonts w:cstheme="minorHAnsi"/>
        </w:rPr>
        <w:t xml:space="preserve"> defined in the Introduction section, as determined by Concinnity Advisors, LP</w:t>
      </w:r>
    </w:p>
    <w:p w14:paraId="4055C2A8" w14:textId="77777777" w:rsidR="00355F52" w:rsidRPr="00E10AF0" w:rsidRDefault="00355F52" w:rsidP="00355F52">
      <w:pPr>
        <w:spacing w:after="0"/>
        <w:rPr>
          <w:rFonts w:cstheme="minorHAnsi"/>
          <w:u w:val="single"/>
        </w:rPr>
      </w:pPr>
      <w:r w:rsidRPr="00E10AF0">
        <w:rPr>
          <w:rFonts w:cstheme="minorHAnsi"/>
        </w:rPr>
        <w:t>[…]”</w:t>
      </w:r>
    </w:p>
    <w:p w14:paraId="3519745C" w14:textId="77777777" w:rsidR="00355F52" w:rsidRPr="00E10AF0" w:rsidRDefault="00355F52" w:rsidP="00355F52">
      <w:pPr>
        <w:spacing w:after="0"/>
        <w:rPr>
          <w:rFonts w:cstheme="minorHAnsi"/>
          <w:b/>
          <w:bCs/>
          <w:color w:val="000000"/>
        </w:rPr>
      </w:pPr>
    </w:p>
    <w:p w14:paraId="165FE630" w14:textId="77777777" w:rsidR="00355F52" w:rsidRPr="00E10AF0" w:rsidRDefault="00355F52" w:rsidP="00355F52">
      <w:pPr>
        <w:spacing w:after="0"/>
        <w:rPr>
          <w:rFonts w:cstheme="minorHAnsi"/>
          <w:iCs/>
          <w:lang w:val="en-GB"/>
        </w:rPr>
      </w:pPr>
      <w:r w:rsidRPr="00E10AF0">
        <w:rPr>
          <w:rFonts w:cstheme="minorHAnsi"/>
          <w:color w:val="000000" w:themeColor="text1"/>
        </w:rPr>
        <w:t xml:space="preserve">Defined terms used in this Market Consultation document, but not defined herein, have the meaning assigned to them in the respective index guideline of the Index. </w:t>
      </w:r>
    </w:p>
    <w:p w14:paraId="5EAABA22" w14:textId="77777777" w:rsidR="00E10AF0" w:rsidRPr="00E10AF0" w:rsidRDefault="00E10AF0" w:rsidP="00355F52">
      <w:pPr>
        <w:spacing w:after="0"/>
        <w:rPr>
          <w:rFonts w:cstheme="minorHAnsi"/>
          <w:iCs/>
          <w:lang w:val="en-GB"/>
        </w:rPr>
      </w:pPr>
    </w:p>
    <w:p w14:paraId="42026508" w14:textId="77777777" w:rsidR="00E10AF0" w:rsidRPr="00E10AF0" w:rsidRDefault="00E10AF0" w:rsidP="00355F52">
      <w:pPr>
        <w:spacing w:after="0"/>
        <w:rPr>
          <w:rFonts w:cstheme="minorHAnsi"/>
          <w:iCs/>
          <w:lang w:val="en-GB"/>
        </w:rPr>
      </w:pPr>
    </w:p>
    <w:p w14:paraId="76AF4EE1" w14:textId="77777777" w:rsidR="00E10AF0" w:rsidRPr="00E10AF0" w:rsidRDefault="00E10AF0" w:rsidP="00355F52">
      <w:pPr>
        <w:spacing w:after="0"/>
        <w:rPr>
          <w:rFonts w:cstheme="minorHAnsi"/>
          <w:iCs/>
          <w:lang w:val="en-GB"/>
        </w:rPr>
      </w:pPr>
    </w:p>
    <w:p w14:paraId="347197A2" w14:textId="77777777" w:rsidR="00E10AF0" w:rsidRPr="00E10AF0" w:rsidRDefault="00E10AF0" w:rsidP="00355F52">
      <w:pPr>
        <w:spacing w:after="0"/>
        <w:rPr>
          <w:rFonts w:cstheme="minorHAnsi"/>
          <w:iCs/>
          <w:lang w:val="en-GB"/>
        </w:rPr>
      </w:pPr>
    </w:p>
    <w:p w14:paraId="2A1A88FD" w14:textId="77777777" w:rsidR="00E10AF0" w:rsidRPr="00E10AF0" w:rsidRDefault="00E10AF0" w:rsidP="00355F52">
      <w:pPr>
        <w:spacing w:after="0"/>
        <w:rPr>
          <w:rFonts w:cstheme="minorHAnsi"/>
          <w:iCs/>
          <w:lang w:val="en-GB"/>
        </w:rPr>
      </w:pPr>
    </w:p>
    <w:p w14:paraId="1E6B08BB" w14:textId="77777777" w:rsidR="00E10AF0" w:rsidRPr="00E10AF0" w:rsidRDefault="00E10AF0" w:rsidP="00355F52">
      <w:pPr>
        <w:spacing w:after="0"/>
        <w:rPr>
          <w:rFonts w:cstheme="minorHAnsi"/>
          <w:iCs/>
          <w:lang w:val="en-GB"/>
        </w:rPr>
      </w:pPr>
    </w:p>
    <w:p w14:paraId="67C43779" w14:textId="77777777" w:rsidR="00E10AF0" w:rsidRPr="00E10AF0" w:rsidRDefault="00E10AF0" w:rsidP="00355F52">
      <w:pPr>
        <w:spacing w:after="0"/>
        <w:rPr>
          <w:rFonts w:cstheme="minorHAnsi"/>
          <w:iCs/>
          <w:lang w:val="en-GB"/>
        </w:rPr>
      </w:pPr>
    </w:p>
    <w:p w14:paraId="6F4FCB26" w14:textId="77777777" w:rsidR="00E10AF0" w:rsidRPr="00E10AF0" w:rsidRDefault="00E10AF0" w:rsidP="00355F52">
      <w:pPr>
        <w:spacing w:after="0"/>
        <w:rPr>
          <w:rFonts w:cstheme="minorHAnsi"/>
          <w:iCs/>
          <w:lang w:val="en-GB"/>
        </w:rPr>
      </w:pPr>
    </w:p>
    <w:p w14:paraId="6C7BEE6C" w14:textId="77777777" w:rsidR="00E10AF0" w:rsidRDefault="00E10AF0" w:rsidP="00355F52">
      <w:pPr>
        <w:spacing w:after="0"/>
        <w:rPr>
          <w:rFonts w:cstheme="minorHAnsi"/>
          <w:iCs/>
          <w:lang w:val="en-GB"/>
        </w:rPr>
      </w:pPr>
    </w:p>
    <w:p w14:paraId="4171297B" w14:textId="77777777" w:rsidR="00CD740B" w:rsidRDefault="00CD740B" w:rsidP="00355F52">
      <w:pPr>
        <w:spacing w:after="0"/>
        <w:rPr>
          <w:rFonts w:cstheme="minorHAnsi"/>
          <w:b/>
          <w:bCs/>
          <w:sz w:val="28"/>
          <w:szCs w:val="28"/>
          <w:u w:val="single"/>
          <w:lang w:val="en-GB"/>
        </w:rPr>
      </w:pPr>
    </w:p>
    <w:p w14:paraId="10D04084" w14:textId="77777777" w:rsidR="00D66173" w:rsidRDefault="00D66173" w:rsidP="00355F52">
      <w:pPr>
        <w:spacing w:after="0"/>
        <w:rPr>
          <w:rFonts w:cstheme="minorHAnsi"/>
          <w:b/>
          <w:bCs/>
          <w:sz w:val="28"/>
          <w:szCs w:val="28"/>
          <w:u w:val="single"/>
          <w:lang w:val="en-GB"/>
        </w:rPr>
      </w:pPr>
    </w:p>
    <w:p w14:paraId="7B2F4BD4" w14:textId="4415BBBE" w:rsidR="00355F52" w:rsidRPr="00E10AF0" w:rsidRDefault="00355F52" w:rsidP="00355F52">
      <w:pPr>
        <w:spacing w:after="0"/>
        <w:rPr>
          <w:rFonts w:cstheme="minorHAnsi"/>
          <w:iCs/>
          <w:sz w:val="28"/>
          <w:szCs w:val="28"/>
          <w:lang w:val="en-GB"/>
        </w:rPr>
      </w:pPr>
      <w:r w:rsidRPr="00E10AF0">
        <w:rPr>
          <w:rFonts w:cstheme="minorHAnsi"/>
          <w:b/>
          <w:bCs/>
          <w:sz w:val="28"/>
          <w:szCs w:val="28"/>
          <w:u w:val="single"/>
          <w:lang w:val="en-GB"/>
        </w:rPr>
        <w:lastRenderedPageBreak/>
        <w:t>Feedback on the Proposed Changes</w:t>
      </w:r>
    </w:p>
    <w:p w14:paraId="607D1094" w14:textId="77777777" w:rsidR="00355F52" w:rsidRPr="00E10AF0" w:rsidRDefault="00355F52" w:rsidP="00355F52">
      <w:pPr>
        <w:spacing w:after="0"/>
        <w:rPr>
          <w:rFonts w:cstheme="minorHAnsi"/>
          <w:b/>
          <w:bCs/>
          <w:lang w:val="en-GB"/>
        </w:rPr>
      </w:pPr>
    </w:p>
    <w:p w14:paraId="38F1F4AD" w14:textId="77777777" w:rsidR="00355F52" w:rsidRPr="00E10AF0" w:rsidRDefault="00355F52" w:rsidP="00355F52">
      <w:pPr>
        <w:spacing w:after="0"/>
        <w:rPr>
          <w:rFonts w:cstheme="minorHAnsi"/>
        </w:rPr>
      </w:pPr>
      <w:r w:rsidRPr="00E10AF0">
        <w:rPr>
          <w:rFonts w:cstheme="minorHAnsi"/>
        </w:rPr>
        <w:t xml:space="preserve">If you would like to share your thoughts with Concinnity Advisors, please use this consultation form and provide us with your personal details and those of your organization. </w:t>
      </w:r>
    </w:p>
    <w:p w14:paraId="354474CE" w14:textId="77777777" w:rsidR="00355F52" w:rsidRPr="00E10AF0" w:rsidRDefault="00355F52" w:rsidP="00355F52">
      <w:pPr>
        <w:spacing w:after="0"/>
        <w:rPr>
          <w:rFonts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7113"/>
      </w:tblGrid>
      <w:tr w:rsidR="00355F52" w:rsidRPr="00E10AF0" w14:paraId="402B1C69" w14:textId="77777777" w:rsidTr="00C12819">
        <w:tc>
          <w:tcPr>
            <w:tcW w:w="2268" w:type="dxa"/>
            <w:shd w:val="clear" w:color="auto" w:fill="auto"/>
            <w:vAlign w:val="center"/>
          </w:tcPr>
          <w:p w14:paraId="1E41C227" w14:textId="77777777" w:rsidR="00355F52" w:rsidRPr="00E10AF0" w:rsidRDefault="00355F52" w:rsidP="00C12819">
            <w:pPr>
              <w:spacing w:after="0"/>
              <w:rPr>
                <w:rFonts w:cstheme="minorHAnsi"/>
              </w:rPr>
            </w:pPr>
            <w:r w:rsidRPr="00E10AF0">
              <w:rPr>
                <w:rFonts w:cstheme="minorHAnsi"/>
              </w:rPr>
              <w:t>Name</w:t>
            </w:r>
          </w:p>
        </w:tc>
        <w:tc>
          <w:tcPr>
            <w:tcW w:w="7365" w:type="dxa"/>
            <w:shd w:val="clear" w:color="auto" w:fill="auto"/>
          </w:tcPr>
          <w:p w14:paraId="5BC2184D" w14:textId="77777777" w:rsidR="00355F52" w:rsidRPr="00E10AF0" w:rsidRDefault="00355F52" w:rsidP="00C12819">
            <w:pPr>
              <w:spacing w:after="0"/>
              <w:rPr>
                <w:rFonts w:cstheme="minorHAnsi"/>
              </w:rPr>
            </w:pPr>
          </w:p>
        </w:tc>
      </w:tr>
      <w:tr w:rsidR="00355F52" w:rsidRPr="00E10AF0" w14:paraId="0B91C84A" w14:textId="77777777" w:rsidTr="00C12819">
        <w:tc>
          <w:tcPr>
            <w:tcW w:w="2268" w:type="dxa"/>
            <w:shd w:val="clear" w:color="auto" w:fill="auto"/>
            <w:vAlign w:val="center"/>
          </w:tcPr>
          <w:p w14:paraId="50EDCB33" w14:textId="77777777" w:rsidR="00355F52" w:rsidRPr="00E10AF0" w:rsidRDefault="00355F52" w:rsidP="00C12819">
            <w:pPr>
              <w:spacing w:after="0"/>
              <w:rPr>
                <w:rFonts w:cstheme="minorHAnsi"/>
              </w:rPr>
            </w:pPr>
            <w:r w:rsidRPr="00E10AF0">
              <w:rPr>
                <w:rFonts w:cstheme="minorHAnsi"/>
              </w:rPr>
              <w:t>Function</w:t>
            </w:r>
          </w:p>
        </w:tc>
        <w:tc>
          <w:tcPr>
            <w:tcW w:w="7365" w:type="dxa"/>
            <w:shd w:val="clear" w:color="auto" w:fill="auto"/>
          </w:tcPr>
          <w:p w14:paraId="4D994250" w14:textId="77777777" w:rsidR="00355F52" w:rsidRPr="00E10AF0" w:rsidRDefault="00355F52" w:rsidP="00C12819">
            <w:pPr>
              <w:spacing w:after="0"/>
              <w:rPr>
                <w:rFonts w:cstheme="minorHAnsi"/>
              </w:rPr>
            </w:pPr>
          </w:p>
        </w:tc>
      </w:tr>
      <w:tr w:rsidR="00355F52" w:rsidRPr="00E10AF0" w14:paraId="0257C0F3" w14:textId="77777777" w:rsidTr="00C12819">
        <w:tc>
          <w:tcPr>
            <w:tcW w:w="2268" w:type="dxa"/>
            <w:shd w:val="clear" w:color="auto" w:fill="auto"/>
            <w:vAlign w:val="center"/>
          </w:tcPr>
          <w:p w14:paraId="72BD6E76" w14:textId="77777777" w:rsidR="00355F52" w:rsidRPr="00E10AF0" w:rsidRDefault="00355F52" w:rsidP="00C12819">
            <w:pPr>
              <w:spacing w:after="0"/>
              <w:rPr>
                <w:rFonts w:cstheme="minorHAnsi"/>
              </w:rPr>
            </w:pPr>
            <w:r w:rsidRPr="00E10AF0">
              <w:rPr>
                <w:rFonts w:cstheme="minorHAnsi"/>
              </w:rPr>
              <w:t>Organization</w:t>
            </w:r>
          </w:p>
        </w:tc>
        <w:tc>
          <w:tcPr>
            <w:tcW w:w="7365" w:type="dxa"/>
            <w:shd w:val="clear" w:color="auto" w:fill="auto"/>
          </w:tcPr>
          <w:p w14:paraId="68438BD1" w14:textId="77777777" w:rsidR="00355F52" w:rsidRPr="00E10AF0" w:rsidRDefault="00355F52" w:rsidP="00C12819">
            <w:pPr>
              <w:spacing w:after="0"/>
              <w:rPr>
                <w:rFonts w:cstheme="minorHAnsi"/>
              </w:rPr>
            </w:pPr>
          </w:p>
        </w:tc>
      </w:tr>
      <w:tr w:rsidR="00355F52" w:rsidRPr="00E10AF0" w14:paraId="1F158474" w14:textId="77777777" w:rsidTr="00C12819">
        <w:tc>
          <w:tcPr>
            <w:tcW w:w="2268" w:type="dxa"/>
            <w:shd w:val="clear" w:color="auto" w:fill="auto"/>
            <w:vAlign w:val="center"/>
          </w:tcPr>
          <w:p w14:paraId="7B91CC97" w14:textId="77777777" w:rsidR="00355F52" w:rsidRPr="00E10AF0" w:rsidRDefault="00355F52" w:rsidP="00C12819">
            <w:pPr>
              <w:spacing w:after="0"/>
              <w:rPr>
                <w:rFonts w:cstheme="minorHAnsi"/>
              </w:rPr>
            </w:pPr>
            <w:r w:rsidRPr="00E10AF0">
              <w:rPr>
                <w:rFonts w:cstheme="minorHAnsi"/>
              </w:rPr>
              <w:t>Email</w:t>
            </w:r>
          </w:p>
        </w:tc>
        <w:tc>
          <w:tcPr>
            <w:tcW w:w="7365" w:type="dxa"/>
            <w:shd w:val="clear" w:color="auto" w:fill="auto"/>
          </w:tcPr>
          <w:p w14:paraId="2362C468" w14:textId="77777777" w:rsidR="00355F52" w:rsidRPr="00E10AF0" w:rsidRDefault="00355F52" w:rsidP="00C12819">
            <w:pPr>
              <w:spacing w:after="0"/>
              <w:rPr>
                <w:rFonts w:cstheme="minorHAnsi"/>
              </w:rPr>
            </w:pPr>
          </w:p>
        </w:tc>
      </w:tr>
      <w:tr w:rsidR="00355F52" w:rsidRPr="00E10AF0" w14:paraId="4D78515B" w14:textId="77777777" w:rsidTr="00C12819">
        <w:tc>
          <w:tcPr>
            <w:tcW w:w="2268" w:type="dxa"/>
            <w:shd w:val="clear" w:color="auto" w:fill="auto"/>
            <w:vAlign w:val="center"/>
          </w:tcPr>
          <w:p w14:paraId="1787123C" w14:textId="77777777" w:rsidR="00355F52" w:rsidRPr="00E10AF0" w:rsidRDefault="00355F52" w:rsidP="00C12819">
            <w:pPr>
              <w:spacing w:after="0"/>
              <w:rPr>
                <w:rFonts w:cstheme="minorHAnsi"/>
              </w:rPr>
            </w:pPr>
            <w:r w:rsidRPr="00E10AF0">
              <w:rPr>
                <w:rFonts w:cstheme="minorHAnsi"/>
              </w:rPr>
              <w:t>Phone</w:t>
            </w:r>
          </w:p>
        </w:tc>
        <w:tc>
          <w:tcPr>
            <w:tcW w:w="7365" w:type="dxa"/>
            <w:shd w:val="clear" w:color="auto" w:fill="auto"/>
          </w:tcPr>
          <w:p w14:paraId="33D35533" w14:textId="77777777" w:rsidR="00355F52" w:rsidRPr="00E10AF0" w:rsidRDefault="00355F52" w:rsidP="00C12819">
            <w:pPr>
              <w:spacing w:after="0"/>
              <w:rPr>
                <w:rFonts w:cstheme="minorHAnsi"/>
              </w:rPr>
            </w:pPr>
          </w:p>
        </w:tc>
      </w:tr>
      <w:tr w:rsidR="00355F52" w:rsidRPr="00E10AF0" w14:paraId="7DC3F284" w14:textId="77777777" w:rsidTr="00C12819">
        <w:tc>
          <w:tcPr>
            <w:tcW w:w="2268" w:type="dxa"/>
            <w:shd w:val="clear" w:color="auto" w:fill="auto"/>
            <w:vAlign w:val="center"/>
          </w:tcPr>
          <w:p w14:paraId="1BD5E302" w14:textId="77777777" w:rsidR="00355F52" w:rsidRPr="00E10AF0" w:rsidRDefault="00355F52" w:rsidP="00C12819">
            <w:pPr>
              <w:spacing w:after="0"/>
              <w:rPr>
                <w:rFonts w:cstheme="minorHAnsi"/>
              </w:rPr>
            </w:pPr>
            <w:r w:rsidRPr="00E10AF0">
              <w:rPr>
                <w:rFonts w:cstheme="minorHAnsi"/>
              </w:rPr>
              <w:t>Confidentiality (Y/N)</w:t>
            </w:r>
          </w:p>
        </w:tc>
        <w:tc>
          <w:tcPr>
            <w:tcW w:w="7365" w:type="dxa"/>
            <w:shd w:val="clear" w:color="auto" w:fill="auto"/>
          </w:tcPr>
          <w:p w14:paraId="77727A1F" w14:textId="77777777" w:rsidR="00355F52" w:rsidRPr="00E10AF0" w:rsidRDefault="00355F52" w:rsidP="00C12819">
            <w:pPr>
              <w:spacing w:after="0"/>
              <w:rPr>
                <w:rFonts w:cstheme="minorHAnsi"/>
              </w:rPr>
            </w:pPr>
          </w:p>
        </w:tc>
      </w:tr>
    </w:tbl>
    <w:p w14:paraId="613BAA83" w14:textId="77777777" w:rsidR="00355F52" w:rsidRPr="00E10AF0" w:rsidRDefault="00355F52" w:rsidP="00355F52">
      <w:pPr>
        <w:spacing w:after="0"/>
        <w:rPr>
          <w:rFonts w:cstheme="minorHAnsi"/>
        </w:rPr>
      </w:pPr>
    </w:p>
    <w:p w14:paraId="49094778" w14:textId="77777777" w:rsidR="00355F52" w:rsidRPr="00E10AF0" w:rsidRDefault="00355F52" w:rsidP="00193249">
      <w:pPr>
        <w:spacing w:after="0"/>
        <w:jc w:val="both"/>
        <w:rPr>
          <w:rFonts w:cstheme="minorHAnsi"/>
        </w:rPr>
      </w:pPr>
      <w:r w:rsidRPr="00E10AF0">
        <w:rPr>
          <w:rFonts w:cstheme="minorHAnsi"/>
        </w:rPr>
        <w:t xml:space="preserve">Concinnity Advisors is inviting all stakeholders and interested third parties to evaluate the proposed changes to the Methodology for the </w:t>
      </w:r>
      <w:proofErr w:type="spellStart"/>
      <w:r w:rsidRPr="00E10AF0">
        <w:rPr>
          <w:rFonts w:cstheme="minorHAnsi"/>
          <w:b/>
          <w:bCs/>
          <w:lang w:val="en-GB"/>
        </w:rPr>
        <w:t>Concinnity</w:t>
      </w:r>
      <w:proofErr w:type="spellEnd"/>
      <w:r w:rsidRPr="00E10AF0">
        <w:rPr>
          <w:rFonts w:cstheme="minorHAnsi"/>
          <w:b/>
          <w:bCs/>
          <w:lang w:val="en-GB"/>
        </w:rPr>
        <w:t xml:space="preserve"> Conscious Companies Index </w:t>
      </w:r>
      <w:r w:rsidRPr="00E10AF0">
        <w:rPr>
          <w:rFonts w:cstheme="minorHAnsi"/>
        </w:rPr>
        <w:t xml:space="preserve">and welcomes any feedback on how this may affect and/or improve their use of Concinnity indices. </w:t>
      </w:r>
    </w:p>
    <w:p w14:paraId="0407A54F" w14:textId="77777777" w:rsidR="00355F52" w:rsidRPr="00E10AF0" w:rsidRDefault="00355F52" w:rsidP="00355F52">
      <w:pPr>
        <w:spacing w:after="0"/>
        <w:rPr>
          <w:rFonts w:cstheme="minorHAnsi"/>
          <w:b/>
          <w:bCs/>
          <w:lang w:val="en-GB"/>
        </w:rPr>
      </w:pP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7"/>
      </w:tblGrid>
      <w:tr w:rsidR="00355F52" w:rsidRPr="00E10AF0" w14:paraId="7EF559EA" w14:textId="77777777" w:rsidTr="00C12819">
        <w:trPr>
          <w:trHeight w:val="2937"/>
        </w:trPr>
        <w:tc>
          <w:tcPr>
            <w:tcW w:w="9657" w:type="dxa"/>
            <w:shd w:val="clear" w:color="auto" w:fill="auto"/>
          </w:tcPr>
          <w:p w14:paraId="345D6B97" w14:textId="77777777" w:rsidR="00355F52" w:rsidRPr="00E10AF0" w:rsidRDefault="00355F52" w:rsidP="00C12819">
            <w:pPr>
              <w:spacing w:after="0"/>
              <w:rPr>
                <w:rFonts w:cstheme="minorHAnsi"/>
                <w:u w:val="single"/>
                <w:lang w:val="en-GB"/>
              </w:rPr>
            </w:pPr>
          </w:p>
        </w:tc>
      </w:tr>
    </w:tbl>
    <w:p w14:paraId="258772F3" w14:textId="77777777" w:rsidR="00355F52" w:rsidRPr="00E10AF0" w:rsidRDefault="00355F52" w:rsidP="00355F52">
      <w:pPr>
        <w:spacing w:after="0"/>
        <w:rPr>
          <w:rFonts w:cstheme="minorHAnsi"/>
          <w:b/>
          <w:bCs/>
          <w:u w:val="single"/>
          <w:lang w:val="en-GB"/>
        </w:rPr>
      </w:pPr>
    </w:p>
    <w:p w14:paraId="5851A161" w14:textId="77777777" w:rsidR="00355F52" w:rsidRPr="00E10AF0" w:rsidRDefault="00355F52" w:rsidP="00355F52">
      <w:pPr>
        <w:spacing w:after="0"/>
        <w:rPr>
          <w:rFonts w:cstheme="minorHAnsi"/>
          <w:b/>
          <w:bCs/>
          <w:sz w:val="28"/>
          <w:szCs w:val="28"/>
          <w:u w:val="single"/>
          <w:lang w:val="en-GB"/>
        </w:rPr>
      </w:pPr>
      <w:r w:rsidRPr="00E10AF0">
        <w:rPr>
          <w:rFonts w:cstheme="minorHAnsi"/>
          <w:b/>
          <w:bCs/>
          <w:sz w:val="28"/>
          <w:szCs w:val="28"/>
          <w:u w:val="single"/>
          <w:lang w:val="en-GB"/>
        </w:rPr>
        <w:t>Consultation Procedure</w:t>
      </w:r>
    </w:p>
    <w:p w14:paraId="4EA8DC8E" w14:textId="77777777" w:rsidR="00355F52" w:rsidRPr="00E10AF0" w:rsidRDefault="00355F52" w:rsidP="00355F52">
      <w:pPr>
        <w:spacing w:after="0"/>
        <w:rPr>
          <w:rFonts w:cstheme="minorHAnsi"/>
          <w:b/>
          <w:bCs/>
          <w:u w:val="single"/>
          <w:lang w:val="en-GB"/>
        </w:rPr>
      </w:pPr>
    </w:p>
    <w:p w14:paraId="3F221704" w14:textId="34376539" w:rsidR="00355F52" w:rsidRPr="00E10AF0" w:rsidRDefault="00355F52" w:rsidP="00193249">
      <w:pPr>
        <w:spacing w:after="0"/>
        <w:jc w:val="both"/>
        <w:rPr>
          <w:rFonts w:cstheme="minorHAnsi"/>
        </w:rPr>
      </w:pPr>
      <w:r w:rsidRPr="00E10AF0">
        <w:rPr>
          <w:rFonts w:cstheme="minorHAnsi"/>
        </w:rPr>
        <w:t xml:space="preserve">Stakeholders and third parties who are interested in participating in this Market Consultation are invited to respond until </w:t>
      </w:r>
      <w:r w:rsidR="00247990">
        <w:rPr>
          <w:rFonts w:cstheme="minorHAnsi"/>
          <w:b/>
          <w:bCs/>
        </w:rPr>
        <w:t>April</w:t>
      </w:r>
      <w:r w:rsidRPr="00E10AF0">
        <w:rPr>
          <w:rFonts w:cstheme="minorHAnsi"/>
          <w:b/>
          <w:bCs/>
        </w:rPr>
        <w:t xml:space="preserve"> </w:t>
      </w:r>
      <w:r w:rsidR="00247990">
        <w:rPr>
          <w:rFonts w:cstheme="minorHAnsi"/>
          <w:b/>
          <w:bCs/>
        </w:rPr>
        <w:t>10</w:t>
      </w:r>
      <w:r w:rsidR="00247990" w:rsidRPr="00247990">
        <w:rPr>
          <w:rFonts w:cstheme="minorHAnsi"/>
          <w:b/>
          <w:bCs/>
          <w:vertAlign w:val="superscript"/>
        </w:rPr>
        <w:t>th</w:t>
      </w:r>
      <w:r w:rsidRPr="00E10AF0">
        <w:rPr>
          <w:rFonts w:cstheme="minorHAnsi"/>
          <w:b/>
          <w:bCs/>
        </w:rPr>
        <w:t>, 2024 (cob)</w:t>
      </w:r>
      <w:r w:rsidRPr="00E10AF0">
        <w:rPr>
          <w:rFonts w:cstheme="minorHAnsi"/>
        </w:rPr>
        <w:t>.</w:t>
      </w:r>
    </w:p>
    <w:p w14:paraId="19D9CFB8" w14:textId="77777777" w:rsidR="00355F52" w:rsidRDefault="00355F52" w:rsidP="00193249">
      <w:pPr>
        <w:spacing w:after="0"/>
        <w:jc w:val="both"/>
        <w:rPr>
          <w:rFonts w:cstheme="minorHAnsi"/>
        </w:rPr>
      </w:pPr>
    </w:p>
    <w:p w14:paraId="5BA6EBD3" w14:textId="77777777" w:rsidR="00193249" w:rsidRDefault="00193249" w:rsidP="00193249">
      <w:pPr>
        <w:spacing w:after="0"/>
        <w:jc w:val="both"/>
        <w:rPr>
          <w:rFonts w:cstheme="minorHAnsi"/>
          <w:lang w:val="it-IT"/>
        </w:rPr>
      </w:pPr>
      <w:r w:rsidRPr="00E10AF0">
        <w:rPr>
          <w:rFonts w:cstheme="minorHAnsi"/>
        </w:rPr>
        <w:t xml:space="preserve">Please send </w:t>
      </w:r>
      <w:r>
        <w:rPr>
          <w:rFonts w:cstheme="minorHAnsi"/>
        </w:rPr>
        <w:t>your</w:t>
      </w:r>
      <w:r w:rsidRPr="00E10AF0">
        <w:rPr>
          <w:rFonts w:cstheme="minorHAnsi"/>
        </w:rPr>
        <w:t xml:space="preserve"> feedback to </w:t>
      </w:r>
      <w:hyperlink r:id="rId6" w:history="1">
        <w:r w:rsidRPr="00452886">
          <w:rPr>
            <w:rStyle w:val="Hyperlink"/>
            <w:rFonts w:asciiTheme="minorHAnsi" w:eastAsiaTheme="majorEastAsia" w:hAnsiTheme="minorHAnsi" w:cstheme="minorHAnsi"/>
            <w:color w:val="4472C4" w:themeColor="accent1"/>
            <w:lang w:val="en-GB"/>
          </w:rPr>
          <w:t>webmaster</w:t>
        </w:r>
        <w:r w:rsidRPr="00452886">
          <w:rPr>
            <w:rStyle w:val="Hyperlink"/>
            <w:rFonts w:asciiTheme="minorHAnsi" w:eastAsiaTheme="majorEastAsia" w:hAnsiTheme="minorHAnsi" w:cstheme="minorHAnsi"/>
            <w:color w:val="4472C4" w:themeColor="accent1"/>
          </w:rPr>
          <w:t>@concinnityadvisors.com</w:t>
        </w:r>
      </w:hyperlink>
      <w:r w:rsidRPr="00E10AF0">
        <w:rPr>
          <w:rFonts w:cstheme="minorHAnsi"/>
        </w:rPr>
        <w:t>, specifying “</w:t>
      </w:r>
      <w:r w:rsidRPr="00E10AF0">
        <w:rPr>
          <w:rFonts w:cstheme="minorHAnsi"/>
          <w:b/>
          <w:bCs/>
        </w:rPr>
        <w:t>Market Consultation”</w:t>
      </w:r>
      <w:r w:rsidRPr="00E10AF0">
        <w:rPr>
          <w:rFonts w:cstheme="minorHAnsi"/>
        </w:rPr>
        <w:t xml:space="preserve"> as the subject of the email, or </w:t>
      </w:r>
      <w:r w:rsidRPr="00E10AF0">
        <w:rPr>
          <w:rFonts w:cstheme="minorHAnsi"/>
          <w:lang w:val="it-IT"/>
        </w:rPr>
        <w:t>via postal mail to:</w:t>
      </w:r>
      <w:r w:rsidRPr="00E10AF0">
        <w:rPr>
          <w:rFonts w:cstheme="minorHAnsi"/>
          <w:lang w:val="it-IT"/>
        </w:rPr>
        <w:tab/>
      </w:r>
    </w:p>
    <w:p w14:paraId="4518D2F2" w14:textId="77777777" w:rsidR="00193249" w:rsidRDefault="00193249" w:rsidP="00193249">
      <w:pPr>
        <w:spacing w:after="0"/>
        <w:jc w:val="both"/>
        <w:rPr>
          <w:rFonts w:cstheme="minorHAnsi"/>
          <w:lang w:val="it-IT"/>
        </w:rPr>
      </w:pPr>
    </w:p>
    <w:p w14:paraId="41C87939" w14:textId="77777777" w:rsidR="00193249" w:rsidRPr="00193249" w:rsidRDefault="00193249" w:rsidP="00193249">
      <w:pPr>
        <w:spacing w:after="0"/>
        <w:jc w:val="center"/>
        <w:rPr>
          <w:rFonts w:cstheme="minorHAnsi"/>
          <w:b/>
          <w:bCs/>
        </w:rPr>
      </w:pPr>
      <w:r w:rsidRPr="00193249">
        <w:rPr>
          <w:rFonts w:cstheme="minorHAnsi"/>
          <w:b/>
          <w:bCs/>
        </w:rPr>
        <w:t>Concinnity Advisors, LP</w:t>
      </w:r>
    </w:p>
    <w:p w14:paraId="42DF5965" w14:textId="77777777" w:rsidR="00193249" w:rsidRPr="00193249" w:rsidRDefault="00193249" w:rsidP="00193249">
      <w:pPr>
        <w:spacing w:after="0"/>
        <w:jc w:val="center"/>
        <w:rPr>
          <w:rFonts w:cstheme="minorHAnsi"/>
        </w:rPr>
      </w:pPr>
      <w:r w:rsidRPr="00193249">
        <w:rPr>
          <w:rFonts w:cstheme="minorHAnsi"/>
        </w:rPr>
        <w:t>1100 South Flagler Drive, Suite 310</w:t>
      </w:r>
    </w:p>
    <w:p w14:paraId="08C1E9A6" w14:textId="0D7561CB" w:rsidR="00193249" w:rsidRPr="00E10AF0" w:rsidRDefault="00193249" w:rsidP="00193249">
      <w:pPr>
        <w:spacing w:after="0"/>
        <w:jc w:val="center"/>
        <w:rPr>
          <w:rFonts w:cstheme="minorHAnsi"/>
        </w:rPr>
      </w:pPr>
      <w:r w:rsidRPr="00193249">
        <w:rPr>
          <w:rFonts w:cstheme="minorHAnsi"/>
        </w:rPr>
        <w:t>West Palm Beach, Florida 33401</w:t>
      </w:r>
    </w:p>
    <w:p w14:paraId="639A78B1" w14:textId="77777777" w:rsidR="00193249" w:rsidRDefault="00193249" w:rsidP="00193249">
      <w:pPr>
        <w:spacing w:after="0"/>
        <w:jc w:val="both"/>
        <w:rPr>
          <w:rFonts w:cstheme="minorHAnsi"/>
        </w:rPr>
      </w:pPr>
    </w:p>
    <w:p w14:paraId="70DAAB6D" w14:textId="46F7BF70" w:rsidR="00193249" w:rsidRDefault="00193249" w:rsidP="00193249">
      <w:pPr>
        <w:spacing w:after="0"/>
        <w:jc w:val="both"/>
        <w:rPr>
          <w:rFonts w:cstheme="minorHAnsi"/>
        </w:rPr>
      </w:pPr>
      <w:r w:rsidRPr="00193249">
        <w:rPr>
          <w:rFonts w:cstheme="minorHAnsi"/>
        </w:rPr>
        <w:t xml:space="preserve">Should you have any additional questions regarding the consultative </w:t>
      </w:r>
      <w:proofErr w:type="gramStart"/>
      <w:r w:rsidRPr="00193249">
        <w:rPr>
          <w:rFonts w:cstheme="minorHAnsi"/>
        </w:rPr>
        <w:t>question in particular, please</w:t>
      </w:r>
      <w:proofErr w:type="gramEnd"/>
      <w:r w:rsidRPr="00193249">
        <w:rPr>
          <w:rFonts w:cstheme="minorHAnsi"/>
        </w:rPr>
        <w:t xml:space="preserve"> do not hesitate to contact us </w:t>
      </w:r>
      <w:r>
        <w:rPr>
          <w:rFonts w:cstheme="minorHAnsi"/>
        </w:rPr>
        <w:t>at</w:t>
      </w:r>
      <w:r w:rsidRPr="00193249">
        <w:rPr>
          <w:rFonts w:cstheme="minorHAnsi"/>
        </w:rPr>
        <w:t xml:space="preserve"> the above email address.</w:t>
      </w:r>
    </w:p>
    <w:p w14:paraId="67620AFC" w14:textId="77777777" w:rsidR="000512FC" w:rsidRDefault="000512FC"/>
    <w:sectPr w:rsidR="0005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ma Semicondensed Light">
    <w:altName w:val="Calibri"/>
    <w:charset w:val="00"/>
    <w:family w:val="auto"/>
    <w:pitch w:val="variable"/>
    <w:sig w:usb0="A00000AF" w:usb1="4000207B" w:usb2="00000000" w:usb3="00000000" w:csb0="0000008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52"/>
    <w:rsid w:val="00037BD1"/>
    <w:rsid w:val="000512FC"/>
    <w:rsid w:val="00193249"/>
    <w:rsid w:val="00247990"/>
    <w:rsid w:val="00355F52"/>
    <w:rsid w:val="00452886"/>
    <w:rsid w:val="0055328A"/>
    <w:rsid w:val="005C4FDD"/>
    <w:rsid w:val="006463DB"/>
    <w:rsid w:val="009B3DF2"/>
    <w:rsid w:val="00C33505"/>
    <w:rsid w:val="00C50488"/>
    <w:rsid w:val="00CD740B"/>
    <w:rsid w:val="00D66173"/>
    <w:rsid w:val="00E1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479"/>
  <w15:chartTrackingRefBased/>
  <w15:docId w15:val="{640E16E7-AEA3-4854-9198-CC1F7866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F52"/>
    <w:rPr>
      <w:rFonts w:ascii="Flama Semicondensed Light" w:hAnsi="Flama Semicondensed Light"/>
      <w:color w:val="0563C1" w:themeColor="hyperlink"/>
      <w:u w:val="single"/>
    </w:rPr>
  </w:style>
  <w:style w:type="paragraph" w:styleId="NormalWeb">
    <w:name w:val="Normal (Web)"/>
    <w:basedOn w:val="Normal"/>
    <w:uiPriority w:val="99"/>
    <w:unhideWhenUsed/>
    <w:rsid w:val="00355F52"/>
    <w:pPr>
      <w:spacing w:before="100" w:beforeAutospacing="1" w:after="100" w:afterAutospacing="1" w:line="240" w:lineRule="auto"/>
    </w:pPr>
    <w:rPr>
      <w:rFonts w:ascii="Times New Roman" w:eastAsiaTheme="minorEastAsia"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C5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concinnityadvisors.com" TargetMode="External"/><Relationship Id="rId5" Type="http://schemas.openxmlformats.org/officeDocument/2006/relationships/hyperlink" Target="https://www.concinnityadvisors.com/conscious-companies-inde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Frazier</dc:creator>
  <cp:keywords/>
  <dc:description/>
  <cp:lastModifiedBy>BJ Frazier</cp:lastModifiedBy>
  <cp:revision>2</cp:revision>
  <cp:lastPrinted>2024-02-06T17:28:00Z</cp:lastPrinted>
  <dcterms:created xsi:type="dcterms:W3CDTF">2024-02-26T06:21:00Z</dcterms:created>
  <dcterms:modified xsi:type="dcterms:W3CDTF">2024-02-26T06:21:00Z</dcterms:modified>
</cp:coreProperties>
</file>