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7200995" w:rsidR="0092193A" w:rsidRPr="0097651D" w:rsidRDefault="00F669B3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Australian Investment Grade Corporate Bond Select TR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BD68085" w:rsidR="00466905" w:rsidRPr="00D902A1" w:rsidRDefault="008B76F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3-2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111F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22 March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BD68085" w:rsidR="00466905" w:rsidRPr="00D902A1" w:rsidRDefault="001C2BF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3-2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111F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22 March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50482E3C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05994" w:rsidRPr="008C3BCC">
        <w:rPr>
          <w:lang w:val="en-US"/>
        </w:rPr>
        <w:t>Ind</w:t>
      </w:r>
      <w:r w:rsidR="00A97E61" w:rsidRPr="008C3BCC">
        <w:rPr>
          <w:lang w:val="en-US"/>
        </w:rPr>
        <w:t>ex</w:t>
      </w:r>
      <w:r w:rsidR="00E05994">
        <w:rPr>
          <w:lang w:val="en-US"/>
        </w:rPr>
        <w:t xml:space="preserve"> (the ‘</w:t>
      </w:r>
      <w:r w:rsidR="00E05994" w:rsidRPr="008C3BCC">
        <w:rPr>
          <w:lang w:val="en-US"/>
        </w:rPr>
        <w:t>Ind</w:t>
      </w:r>
      <w:r w:rsidR="00A97E61" w:rsidRPr="008C3BCC">
        <w:rPr>
          <w:lang w:val="en-US"/>
        </w:rPr>
        <w:t>ex</w:t>
      </w:r>
      <w:r w:rsidR="00E05994" w:rsidRPr="008C3BCC">
        <w:rPr>
          <w:lang w:val="en-US"/>
        </w:rPr>
        <w:t>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F111FE" w:rsidRPr="00F111FE" w14:paraId="285C0C70" w14:textId="77777777" w:rsidTr="00F111F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147B8AFA" w:rsidR="00F111FE" w:rsidRPr="003A1DD5" w:rsidRDefault="00F111FE" w:rsidP="00F111F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6E70B7">
              <w:rPr>
                <w:lang w:val="en-US"/>
              </w:rPr>
              <w:t>Solactive Australian Investment Grade Corporate Bond Select 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67E4DE76" w:rsidR="00F111FE" w:rsidRDefault="00F111FE" w:rsidP="00F111F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>
              <w:t>.SOLAUSIG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2D3802B3" w:rsidR="00F111FE" w:rsidRDefault="00F111FE" w:rsidP="00F111FE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>
              <w:t>DE000SLA5SL1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75E96E90" w14:textId="70CA862A" w:rsidR="00233B75" w:rsidRDefault="003824B7" w:rsidP="00783C68">
      <w:pPr>
        <w:spacing w:before="0" w:after="160" w:line="259" w:lineRule="auto"/>
        <w:jc w:val="left"/>
        <w:rPr>
          <w:lang w:val="en-GB"/>
        </w:rPr>
      </w:pPr>
      <w:r w:rsidRPr="003824B7">
        <w:rPr>
          <w:lang w:val="en-GB"/>
        </w:rPr>
        <w:t>The Index provides exposure to Australian dollar (AUD) denominated non</w:t>
      </w:r>
      <w:r>
        <w:rPr>
          <w:lang w:val="en-GB"/>
        </w:rPr>
        <w:t>-</w:t>
      </w:r>
      <w:r w:rsidRPr="003824B7">
        <w:rPr>
          <w:lang w:val="en-GB"/>
        </w:rPr>
        <w:t xml:space="preserve">government investment-grade bonds with a term to maturity between 5.25 and 10.25 years. Currently, the Index includes up to 35 bonds selected based on option-adjusted spreads.  Since the Index was launched in 2018, the size of the Australian Investment Grade Corporate Debt market has grown </w:t>
      </w:r>
      <w:proofErr w:type="gramStart"/>
      <w:r w:rsidRPr="003824B7">
        <w:rPr>
          <w:lang w:val="en-GB"/>
        </w:rPr>
        <w:t>significantly</w:t>
      </w:r>
      <w:proofErr w:type="gramEnd"/>
      <w:r w:rsidRPr="003824B7">
        <w:rPr>
          <w:lang w:val="en-GB"/>
        </w:rPr>
        <w:t xml:space="preserve"> and the Index is no longer fully representative of the market which it seeks to represent. </w:t>
      </w:r>
      <w:r>
        <w:rPr>
          <w:lang w:val="en-GB"/>
        </w:rPr>
        <w:t xml:space="preserve">Therefore, </w:t>
      </w:r>
      <w:r w:rsidR="00F111FE">
        <w:rPr>
          <w:lang w:val="en-GB"/>
        </w:rPr>
        <w:t>Solactive AG deems that the maximum number of securities for the Index is no longer appropriate</w:t>
      </w:r>
      <w:r>
        <w:rPr>
          <w:lang w:val="en-GB"/>
        </w:rPr>
        <w:t xml:space="preserve"> and should be increased from 35 to 50.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4375024E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</w:t>
      </w:r>
      <w:r w:rsidR="003328E0" w:rsidRPr="0010358C">
        <w:rPr>
          <w:sz w:val="28"/>
          <w:szCs w:val="28"/>
          <w:u w:val="single"/>
          <w:lang w:val="en-GB"/>
        </w:rPr>
        <w:t>[</w:t>
      </w:r>
      <w:r w:rsidR="00F568D6" w:rsidRPr="0010358C">
        <w:rPr>
          <w:sz w:val="28"/>
          <w:szCs w:val="28"/>
          <w:u w:val="single"/>
          <w:lang w:val="en-GB"/>
        </w:rPr>
        <w:t>s</w:t>
      </w:r>
      <w:r w:rsidR="003328E0" w:rsidRPr="0010358C">
        <w:rPr>
          <w:sz w:val="28"/>
          <w:szCs w:val="28"/>
          <w:u w:val="single"/>
          <w:lang w:val="en-GB"/>
        </w:rPr>
        <w:t>]</w:t>
      </w:r>
      <w:r w:rsidR="00F568D6" w:rsidRPr="0010358C">
        <w:rPr>
          <w:sz w:val="28"/>
          <w:szCs w:val="28"/>
          <w:u w:val="single"/>
          <w:lang w:val="en-GB"/>
        </w:rPr>
        <w:t xml:space="preserve"> to the Index Guideline</w:t>
      </w:r>
    </w:p>
    <w:p w14:paraId="7D66871B" w14:textId="72064E50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point[s]</w:t>
      </w:r>
      <w:r w:rsidR="00C32515">
        <w:rPr>
          <w:lang w:val="en-GB"/>
        </w:rPr>
        <w:t xml:space="preserve"> of the Index Guideline </w:t>
      </w:r>
      <w:r>
        <w:rPr>
          <w:lang w:val="en-GB"/>
        </w:rPr>
        <w:t>(ordered in accordance with the numbering of the affected sections):</w:t>
      </w:r>
    </w:p>
    <w:p w14:paraId="76F75A88" w14:textId="46F823E2" w:rsidR="009E5C49" w:rsidRPr="008C3BCC" w:rsidRDefault="009E5C49" w:rsidP="008C3BCC">
      <w:pPr>
        <w:rPr>
          <w:lang w:val="en-GB"/>
        </w:rPr>
      </w:pPr>
      <w:r w:rsidRPr="008C3BCC">
        <w:rPr>
          <w:lang w:val="en-GB"/>
        </w:rPr>
        <w:t>Section 1.1 Scope of the index</w:t>
      </w:r>
    </w:p>
    <w:p w14:paraId="706185C1" w14:textId="77777777" w:rsidR="009E5C49" w:rsidRDefault="009E5C49" w:rsidP="009E5C49">
      <w:pPr>
        <w:shd w:val="clear" w:color="auto" w:fill="FFFFFF"/>
        <w:spacing w:after="180"/>
        <w:ind w:left="360"/>
        <w:rPr>
          <w:color w:val="000000" w:themeColor="text1"/>
          <w:u w:val="single"/>
          <w:lang w:val="en-US"/>
        </w:rPr>
      </w:pPr>
      <w:r w:rsidRPr="00364B2E">
        <w:rPr>
          <w:color w:val="000000" w:themeColor="text1"/>
          <w:u w:val="single"/>
          <w:lang w:val="en-US"/>
        </w:rPr>
        <w:t>From (old version):</w:t>
      </w:r>
    </w:p>
    <w:p w14:paraId="68551DFE" w14:textId="77777777" w:rsidR="009E5C49" w:rsidRPr="00364B2E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364B2E">
        <w:rPr>
          <w:color w:val="000000" w:themeColor="text1"/>
          <w:lang w:val="en-US"/>
        </w:rPr>
        <w:t>“[…]</w:t>
      </w:r>
    </w:p>
    <w:p w14:paraId="7AB4BB90" w14:textId="3316B490" w:rsidR="009E5C49" w:rsidRPr="009E5C49" w:rsidRDefault="009E5C49" w:rsidP="009E5C49">
      <w:pPr>
        <w:ind w:left="360"/>
        <w:rPr>
          <w:lang w:val="en-US" w:eastAsia="en-US"/>
        </w:rPr>
      </w:pPr>
      <w:r w:rsidRPr="009E5C49">
        <w:rPr>
          <w:lang w:val="en-US"/>
        </w:rPr>
        <w:t xml:space="preserve">The index includes up to </w:t>
      </w:r>
      <w:r>
        <w:rPr>
          <w:lang w:val="en-US"/>
        </w:rPr>
        <w:t>35</w:t>
      </w:r>
      <w:r w:rsidRPr="009E5C49">
        <w:rPr>
          <w:lang w:val="en-US"/>
        </w:rPr>
        <w:t xml:space="preserve"> bonds selected based on option-adjusted spreads. </w:t>
      </w:r>
    </w:p>
    <w:p w14:paraId="747F780B" w14:textId="77777777" w:rsidR="009E5C49" w:rsidRPr="00364B2E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364B2E">
        <w:rPr>
          <w:color w:val="000000" w:themeColor="text1"/>
          <w:lang w:val="en-US"/>
        </w:rPr>
        <w:t>[…]</w:t>
      </w:r>
      <w:r>
        <w:rPr>
          <w:color w:val="000000" w:themeColor="text1"/>
          <w:lang w:val="en-US"/>
        </w:rPr>
        <w:t>.</w:t>
      </w:r>
      <w:r w:rsidRPr="00364B2E">
        <w:rPr>
          <w:color w:val="000000" w:themeColor="text1"/>
          <w:lang w:val="en-US"/>
        </w:rPr>
        <w:t>”</w:t>
      </w:r>
    </w:p>
    <w:p w14:paraId="592D2B51" w14:textId="77777777" w:rsidR="009E5C49" w:rsidRDefault="009E5C49" w:rsidP="009E5C49">
      <w:pPr>
        <w:shd w:val="clear" w:color="auto" w:fill="FFFFFF"/>
        <w:spacing w:after="180"/>
        <w:ind w:left="708" w:hanging="348"/>
        <w:rPr>
          <w:color w:val="000000" w:themeColor="text1"/>
          <w:u w:val="single"/>
          <w:lang w:val="en-US"/>
        </w:rPr>
      </w:pPr>
      <w:r>
        <w:rPr>
          <w:color w:val="000000" w:themeColor="text1"/>
          <w:u w:val="single"/>
          <w:lang w:val="en-US"/>
        </w:rPr>
        <w:t>To (n</w:t>
      </w:r>
      <w:r w:rsidRPr="00364B2E">
        <w:rPr>
          <w:color w:val="000000" w:themeColor="text1"/>
          <w:u w:val="single"/>
          <w:lang w:val="en-US"/>
        </w:rPr>
        <w:t xml:space="preserve">ew </w:t>
      </w:r>
      <w:r>
        <w:rPr>
          <w:color w:val="000000" w:themeColor="text1"/>
          <w:u w:val="single"/>
          <w:lang w:val="en-US"/>
        </w:rPr>
        <w:t>v</w:t>
      </w:r>
      <w:r w:rsidRPr="00364B2E">
        <w:rPr>
          <w:color w:val="000000" w:themeColor="text1"/>
          <w:u w:val="single"/>
          <w:lang w:val="en-US"/>
        </w:rPr>
        <w:t>ersion</w:t>
      </w:r>
      <w:r>
        <w:rPr>
          <w:color w:val="000000" w:themeColor="text1"/>
          <w:u w:val="single"/>
          <w:lang w:val="en-US"/>
        </w:rPr>
        <w:t>)</w:t>
      </w:r>
    </w:p>
    <w:p w14:paraId="34E39CDD" w14:textId="77777777" w:rsidR="009E5C49" w:rsidRPr="00EA39C3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EA39C3">
        <w:rPr>
          <w:color w:val="000000" w:themeColor="text1"/>
          <w:lang w:val="en-US"/>
        </w:rPr>
        <w:t>“[…]</w:t>
      </w:r>
    </w:p>
    <w:p w14:paraId="2D15BA97" w14:textId="77777777" w:rsidR="009E5C49" w:rsidRPr="009E5C49" w:rsidRDefault="009E5C49" w:rsidP="009E5C49">
      <w:pPr>
        <w:ind w:left="360"/>
        <w:rPr>
          <w:lang w:val="en-US" w:eastAsia="en-US"/>
        </w:rPr>
      </w:pPr>
      <w:r w:rsidRPr="009E5C49">
        <w:rPr>
          <w:lang w:val="en-US"/>
        </w:rPr>
        <w:t xml:space="preserve">The index includes up to 50 bonds selected based on option-adjusted spreads. </w:t>
      </w:r>
    </w:p>
    <w:p w14:paraId="43D7C164" w14:textId="77777777" w:rsidR="009E5C49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364B2E">
        <w:rPr>
          <w:color w:val="000000" w:themeColor="text1"/>
          <w:lang w:val="en-US"/>
        </w:rPr>
        <w:t>[…].”</w:t>
      </w:r>
    </w:p>
    <w:p w14:paraId="13C4B9ED" w14:textId="77777777" w:rsidR="009E5C49" w:rsidRDefault="009E5C49" w:rsidP="004A428F">
      <w:pPr>
        <w:spacing w:before="0" w:after="160" w:line="259" w:lineRule="auto"/>
        <w:jc w:val="left"/>
        <w:rPr>
          <w:lang w:val="en-GB"/>
        </w:rPr>
      </w:pPr>
    </w:p>
    <w:p w14:paraId="38857EFA" w14:textId="2244558F" w:rsidR="009E5C49" w:rsidRPr="008C3BCC" w:rsidRDefault="009E5C49" w:rsidP="004A428F">
      <w:pPr>
        <w:spacing w:before="0" w:after="160" w:line="259" w:lineRule="auto"/>
        <w:jc w:val="left"/>
        <w:rPr>
          <w:lang w:val="en-GB"/>
        </w:rPr>
      </w:pPr>
      <w:r w:rsidRPr="008C3BCC">
        <w:rPr>
          <w:lang w:val="en-GB"/>
        </w:rPr>
        <w:lastRenderedPageBreak/>
        <w:t>Section 2.1 Selection of the Index Components</w:t>
      </w:r>
    </w:p>
    <w:p w14:paraId="51546D48" w14:textId="77777777" w:rsidR="009E5C49" w:rsidRDefault="009E5C49" w:rsidP="009E5C49">
      <w:pPr>
        <w:shd w:val="clear" w:color="auto" w:fill="FFFFFF"/>
        <w:spacing w:after="180"/>
        <w:ind w:left="360"/>
        <w:rPr>
          <w:color w:val="000000" w:themeColor="text1"/>
          <w:u w:val="single"/>
          <w:lang w:val="en-US"/>
        </w:rPr>
      </w:pPr>
      <w:r w:rsidRPr="00364B2E">
        <w:rPr>
          <w:color w:val="000000" w:themeColor="text1"/>
          <w:u w:val="single"/>
          <w:lang w:val="en-US"/>
        </w:rPr>
        <w:t>From (old version):</w:t>
      </w:r>
    </w:p>
    <w:p w14:paraId="2EF13581" w14:textId="77777777" w:rsidR="009E5C49" w:rsidRPr="00364B2E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364B2E">
        <w:rPr>
          <w:color w:val="000000" w:themeColor="text1"/>
          <w:lang w:val="en-US"/>
        </w:rPr>
        <w:t>“[…]</w:t>
      </w:r>
    </w:p>
    <w:p w14:paraId="77DAB600" w14:textId="60FA5999" w:rsidR="009E5C49" w:rsidRDefault="009E5C49" w:rsidP="009E5C49">
      <w:pPr>
        <w:ind w:left="360"/>
        <w:jc w:val="left"/>
        <w:rPr>
          <w:lang w:val="en-US"/>
        </w:rPr>
      </w:pPr>
      <w:r w:rsidRPr="00636D16">
        <w:rPr>
          <w:lang w:val="en-US"/>
        </w:rPr>
        <w:t xml:space="preserve">All bonds in the Preliminary Pool are then ranked by option adjusted spread, from highest to lowest. Securities are added to the Index, in rank order, up to a maximum of </w:t>
      </w:r>
      <w:r>
        <w:rPr>
          <w:lang w:val="en-US"/>
        </w:rPr>
        <w:t>35</w:t>
      </w:r>
      <w:r w:rsidRPr="00636D16">
        <w:rPr>
          <w:lang w:val="en-US"/>
        </w:rPr>
        <w:t xml:space="preserve"> securities (the Index Components). </w:t>
      </w:r>
    </w:p>
    <w:p w14:paraId="35055706" w14:textId="77777777" w:rsidR="009E5C49" w:rsidRPr="00364B2E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364B2E">
        <w:rPr>
          <w:color w:val="000000" w:themeColor="text1"/>
          <w:lang w:val="en-US"/>
        </w:rPr>
        <w:t>[…]</w:t>
      </w:r>
      <w:r>
        <w:rPr>
          <w:color w:val="000000" w:themeColor="text1"/>
          <w:lang w:val="en-US"/>
        </w:rPr>
        <w:t>.</w:t>
      </w:r>
      <w:r w:rsidRPr="00364B2E">
        <w:rPr>
          <w:color w:val="000000" w:themeColor="text1"/>
          <w:lang w:val="en-US"/>
        </w:rPr>
        <w:t>”</w:t>
      </w:r>
    </w:p>
    <w:p w14:paraId="28E85061" w14:textId="77777777" w:rsidR="009E5C49" w:rsidRDefault="009E5C49" w:rsidP="009E5C49">
      <w:pPr>
        <w:shd w:val="clear" w:color="auto" w:fill="FFFFFF"/>
        <w:spacing w:after="180"/>
        <w:ind w:left="708" w:hanging="348"/>
        <w:rPr>
          <w:color w:val="000000" w:themeColor="text1"/>
          <w:u w:val="single"/>
          <w:lang w:val="en-US"/>
        </w:rPr>
      </w:pPr>
      <w:r>
        <w:rPr>
          <w:color w:val="000000" w:themeColor="text1"/>
          <w:u w:val="single"/>
          <w:lang w:val="en-US"/>
        </w:rPr>
        <w:t>To (n</w:t>
      </w:r>
      <w:r w:rsidRPr="00364B2E">
        <w:rPr>
          <w:color w:val="000000" w:themeColor="text1"/>
          <w:u w:val="single"/>
          <w:lang w:val="en-US"/>
        </w:rPr>
        <w:t xml:space="preserve">ew </w:t>
      </w:r>
      <w:r>
        <w:rPr>
          <w:color w:val="000000" w:themeColor="text1"/>
          <w:u w:val="single"/>
          <w:lang w:val="en-US"/>
        </w:rPr>
        <w:t>v</w:t>
      </w:r>
      <w:r w:rsidRPr="00364B2E">
        <w:rPr>
          <w:color w:val="000000" w:themeColor="text1"/>
          <w:u w:val="single"/>
          <w:lang w:val="en-US"/>
        </w:rPr>
        <w:t>ersion</w:t>
      </w:r>
      <w:r>
        <w:rPr>
          <w:color w:val="000000" w:themeColor="text1"/>
          <w:u w:val="single"/>
          <w:lang w:val="en-US"/>
        </w:rPr>
        <w:t>)</w:t>
      </w:r>
    </w:p>
    <w:p w14:paraId="736072DA" w14:textId="77777777" w:rsidR="009E5C49" w:rsidRPr="00EA39C3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EA39C3">
        <w:rPr>
          <w:color w:val="000000" w:themeColor="text1"/>
          <w:lang w:val="en-US"/>
        </w:rPr>
        <w:t>“[…]</w:t>
      </w:r>
    </w:p>
    <w:p w14:paraId="7F4C22C9" w14:textId="77777777" w:rsidR="009E5C49" w:rsidRDefault="009E5C49" w:rsidP="009E5C49">
      <w:pPr>
        <w:ind w:left="360"/>
        <w:jc w:val="left"/>
        <w:rPr>
          <w:lang w:val="en-US"/>
        </w:rPr>
      </w:pPr>
      <w:r w:rsidRPr="00636D16">
        <w:rPr>
          <w:lang w:val="en-US"/>
        </w:rPr>
        <w:t xml:space="preserve">All bonds in the Preliminary Pool are then ranked by option adjusted spread, from highest to lowest. Securities are added to the Index, in rank order, up to a maximum of </w:t>
      </w:r>
      <w:r>
        <w:rPr>
          <w:lang w:val="en-US"/>
        </w:rPr>
        <w:t>50</w:t>
      </w:r>
      <w:r w:rsidRPr="00636D16">
        <w:rPr>
          <w:lang w:val="en-US"/>
        </w:rPr>
        <w:t xml:space="preserve"> securities (the Index Components). </w:t>
      </w:r>
    </w:p>
    <w:p w14:paraId="169D6DFC" w14:textId="77777777" w:rsidR="009E5C49" w:rsidRDefault="009E5C49" w:rsidP="009E5C49">
      <w:pPr>
        <w:shd w:val="clear" w:color="auto" w:fill="FFFFFF"/>
        <w:spacing w:after="180"/>
        <w:ind w:left="360"/>
        <w:rPr>
          <w:color w:val="000000" w:themeColor="text1"/>
          <w:lang w:val="en-US"/>
        </w:rPr>
      </w:pPr>
      <w:r w:rsidRPr="00364B2E">
        <w:rPr>
          <w:color w:val="000000" w:themeColor="text1"/>
          <w:lang w:val="en-US"/>
        </w:rPr>
        <w:t>[…].”</w:t>
      </w:r>
    </w:p>
    <w:p w14:paraId="4F992294" w14:textId="77777777" w:rsidR="009E5C49" w:rsidRDefault="009E5C49" w:rsidP="004A428F">
      <w:pPr>
        <w:spacing w:before="0" w:after="160" w:line="259" w:lineRule="auto"/>
        <w:jc w:val="left"/>
        <w:rPr>
          <w:lang w:val="en-GB"/>
        </w:rPr>
      </w:pP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39CD13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8C3BCC" w:rsidRPr="006E70B7">
        <w:rPr>
          <w:lang w:val="en-US"/>
        </w:rPr>
        <w:t xml:space="preserve">Solactive Australian Investment Grade Corporate Bond Select </w:t>
      </w:r>
      <w:r w:rsidR="003824B7">
        <w:rPr>
          <w:lang w:val="en-US"/>
        </w:rPr>
        <w:t xml:space="preserve">TR </w:t>
      </w:r>
      <w:r w:rsidR="008C3BCC">
        <w:rPr>
          <w:lang w:val="en-US"/>
        </w:rPr>
        <w:t xml:space="preserve">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669B3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D99DB7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1C2BFD">
        <w:rPr>
          <w:iCs/>
          <w:lang w:val="en-US"/>
        </w:rPr>
        <w:t>6</w:t>
      </w:r>
      <w:r w:rsidR="008C3BCC" w:rsidRPr="008C3BCC">
        <w:rPr>
          <w:iCs/>
          <w:lang w:val="en-US"/>
        </w:rPr>
        <w:t xml:space="preserve"> April 2021</w:t>
      </w:r>
      <w:r w:rsidR="003824B7">
        <w:rPr>
          <w:iCs/>
          <w:lang w:val="en-US"/>
        </w:rPr>
        <w:t xml:space="preserve"> (cob)</w:t>
      </w:r>
      <w:r w:rsidR="008C3BCC">
        <w:rPr>
          <w:iCs/>
          <w:lang w:val="en-US"/>
        </w:rPr>
        <w:t>.</w:t>
      </w:r>
    </w:p>
    <w:p w14:paraId="04131284" w14:textId="1EFA3EA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8C3BCC" w:rsidRPr="006E70B7">
        <w:rPr>
          <w:lang w:val="en-US"/>
        </w:rPr>
        <w:t>Solactive Australian Investment Grade Corporate Bond Select Index</w:t>
      </w:r>
      <w:r w:rsidR="008C3BCC">
        <w:rPr>
          <w:lang w:val="en-US"/>
        </w:rPr>
        <w:t>”</w:t>
      </w:r>
      <w:r w:rsidR="008C3BCC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B17734" w:rsidRDefault="005055F5" w:rsidP="005055F5">
      <w:pPr>
        <w:spacing w:after="0"/>
        <w:rPr>
          <w:lang w:val="it-IT"/>
        </w:rPr>
      </w:pPr>
      <w:r w:rsidRPr="00B17734">
        <w:rPr>
          <w:lang w:val="it-IT"/>
        </w:rPr>
        <w:t>via postal mail to:</w:t>
      </w:r>
      <w:r w:rsidRPr="00B17734">
        <w:rPr>
          <w:lang w:val="it-IT"/>
        </w:rPr>
        <w:tab/>
      </w:r>
      <w:r w:rsidRPr="00B17734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F669B3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 xml:space="preserve">Should you have any additional questions regarding the consultative </w:t>
            </w:r>
            <w:proofErr w:type="gramStart"/>
            <w:r w:rsidRPr="00C04273">
              <w:rPr>
                <w:lang w:val="en-US"/>
              </w:rPr>
              <w:t>question in particular, please</w:t>
            </w:r>
            <w:proofErr w:type="gramEnd"/>
            <w:r w:rsidRPr="00C04273">
              <w:rPr>
                <w:lang w:val="en-US"/>
              </w:rPr>
              <w:t xml:space="preserve">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B17734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B17734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B17734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B17734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B17734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B17734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B17734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B17734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B17734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B17734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3824B7">
                        <w:fldChar w:fldCharType="begin"/>
                      </w:r>
                      <w:r w:rsidR="003824B7" w:rsidRPr="00F669B3">
                        <w:rPr>
                          <w:lang w:val="en-GB"/>
                        </w:rPr>
                        <w:instrText xml:space="preserve"> HYPERLINK "mailto:info@solactive.com" </w:instrText>
                      </w:r>
                      <w:r w:rsidR="003824B7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3824B7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B17734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B17734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B17734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B17734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B17734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B17734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B17734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B17734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B17734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B17734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19382D-A4A0-405F-AD16-67FB71FFA01B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E853340-2CF8-4DE9-8C1F-4654908DFF23}"/>
    <w:embedBold r:id="rId3" w:fontKey="{5DEF1A1C-8C02-4CD0-951E-2DAC035F8DAD}"/>
    <w:embedItalic r:id="rId4" w:fontKey="{A723EA55-1184-4454-876E-F502CF6996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F59379F-6FAB-471E-A5BE-B5B9B3E901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157FE07-9790-4513-98BE-F9D79D797F66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C7CAAEB8-A55D-46C5-A038-57D4B6F891FE}"/>
    <w:embedBold r:id="rId8" w:fontKey="{BF83C528-D33E-4FCC-9942-5A10B7A70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1B27A425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669B3">
          <w:rPr>
            <w:lang w:val="en-US"/>
          </w:rPr>
          <w:t>Market Consultation Solactive Australian Investment Grade Corporate Bond Select TR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143" type="#_x0000_t75" style="width:19.9pt;height:19.9pt" o:bullet="t">
        <v:imagedata r:id="rId2" o:title="S_Icons-Pfeil_02"/>
      </v:shape>
    </w:pict>
  </w:numPicBullet>
  <w:numPicBullet w:numPicBulletId="2">
    <w:pict>
      <v:shape id="_x0000_i1144" type="#_x0000_t75" style="width:15.35pt;height:15.85pt" o:bullet="t">
        <v:imagedata r:id="rId3" o:title="Bullet_2_Indices_Small"/>
      </v:shape>
    </w:pict>
  </w:numPicBullet>
  <w:numPicBullet w:numPicBulletId="3">
    <w:pict>
      <v:shape id="_x0000_i114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052B5"/>
    <w:multiLevelType w:val="hybridMultilevel"/>
    <w:tmpl w:val="67046240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ED3290"/>
    <w:multiLevelType w:val="hybridMultilevel"/>
    <w:tmpl w:val="14AED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21"/>
  </w:num>
  <w:num w:numId="5">
    <w:abstractNumId w:val="16"/>
  </w:num>
  <w:num w:numId="6">
    <w:abstractNumId w:val="9"/>
  </w:num>
  <w:num w:numId="7">
    <w:abstractNumId w:val="20"/>
  </w:num>
  <w:num w:numId="8">
    <w:abstractNumId w:val="3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5"/>
  </w:num>
  <w:num w:numId="14">
    <w:abstractNumId w:val="11"/>
  </w:num>
  <w:num w:numId="15">
    <w:abstractNumId w:val="4"/>
  </w:num>
  <w:num w:numId="16">
    <w:abstractNumId w:val="12"/>
  </w:num>
  <w:num w:numId="17">
    <w:abstractNumId w:val="22"/>
  </w:num>
  <w:num w:numId="18">
    <w:abstractNumId w:val="10"/>
  </w:num>
  <w:num w:numId="19">
    <w:abstractNumId w:val="18"/>
  </w:num>
  <w:num w:numId="20">
    <w:abstractNumId w:val="19"/>
  </w:num>
  <w:num w:numId="21">
    <w:abstractNumId w:val="0"/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2BFD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24B7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B76F5"/>
    <w:rsid w:val="008C3106"/>
    <w:rsid w:val="008C3BCC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E5C49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17734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1508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1FE"/>
    <w:rsid w:val="00F1145C"/>
    <w:rsid w:val="00F25F45"/>
    <w:rsid w:val="00F51148"/>
    <w:rsid w:val="00F568D6"/>
    <w:rsid w:val="00F669B3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E5C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9E5C49"/>
    <w:rPr>
      <w:rFonts w:asciiTheme="majorHAnsi" w:eastAsiaTheme="majorEastAsia" w:hAnsiTheme="majorHAnsi" w:cstheme="majorBidi"/>
      <w:color w:val="035FD6" w:themeColor="accent1" w:themeShade="B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490</Words>
  <Characters>2799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Australian Investment Grade Corporate Bond Select Index</vt:lpstr>
      <vt:lpstr>Index Calculation Guideline</vt:lpstr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Australian Investment Grade Corporate Bond Select TR Index</dc:title>
  <dc:subject>Calculation Documents &amp; Methodologies</dc:subject>
  <dc:creator>Solactive AG</dc:creator>
  <cp:keywords/>
  <dc:description/>
  <cp:lastModifiedBy>Thach, Khoa</cp:lastModifiedBy>
  <cp:revision>2</cp:revision>
  <cp:lastPrinted>2018-12-10T16:54:00Z</cp:lastPrinted>
  <dcterms:created xsi:type="dcterms:W3CDTF">2021-03-19T17:58:00Z</dcterms:created>
  <dcterms:modified xsi:type="dcterms:W3CDTF">2021-03-19T17:58:00Z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