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b/>
              <w:color w:val="035FD6" w:themeColor="accent1" w:themeShade="BF"/>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FB439F2" w:rsidR="0092193A" w:rsidRPr="0097651D" w:rsidRDefault="00544E9B" w:rsidP="0092193A">
              <w:pPr>
                <w:pStyle w:val="Title"/>
                <w:rPr>
                  <w:lang w:val="en-US"/>
                </w:rPr>
              </w:pPr>
              <w:r w:rsidRPr="00544E9B">
                <w:rPr>
                  <w:b/>
                  <w:color w:val="035FD6" w:themeColor="accent1" w:themeShade="BF"/>
                  <w:lang w:val="en-US"/>
                </w:rPr>
                <w:t>Market Consultation Solactive Climate and Energy Transition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EB69F3E" w:rsidR="00110CA0" w:rsidRPr="00D902A1" w:rsidRDefault="00C6213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6-05T00:00:00Z">
                                      <w:dateFormat w:val="dd MMMM yyyy"/>
                                      <w:lid w:val="en-GB"/>
                                      <w:storeMappedDataAs w:val="dateTime"/>
                                      <w:calendar w:val="gregorian"/>
                                    </w:date>
                                  </w:sdtPr>
                                  <w:sdtEndPr/>
                                  <w:sdtContent>
                                    <w:r w:rsidR="00B65F55">
                                      <w:rPr>
                                        <w:color w:val="FFFFFF" w:themeColor="background1"/>
                                        <w:sz w:val="26"/>
                                        <w:szCs w:val="26"/>
                                        <w:lang w:val="en-GB"/>
                                      </w:rPr>
                                      <w:t>05 June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EB69F3E" w:rsidR="00110CA0" w:rsidRPr="00D902A1" w:rsidRDefault="00C6213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6-05T00:00:00Z">
                                <w:dateFormat w:val="dd MMMM yyyy"/>
                                <w:lid w:val="en-GB"/>
                                <w:storeMappedDataAs w:val="dateTime"/>
                                <w:calendar w:val="gregorian"/>
                              </w:date>
                            </w:sdtPr>
                            <w:sdtEndPr/>
                            <w:sdtContent>
                              <w:r w:rsidR="00B65F55">
                                <w:rPr>
                                  <w:color w:val="FFFFFF" w:themeColor="background1"/>
                                  <w:sz w:val="26"/>
                                  <w:szCs w:val="26"/>
                                  <w:lang w:val="en-GB"/>
                                </w:rPr>
                                <w:t>05 June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2B3837DB" w14:textId="14D9B6A5" w:rsidR="00160389" w:rsidRDefault="00CB413D" w:rsidP="00160389">
      <w:pPr>
        <w:spacing w:after="100" w:afterAutospacing="1" w:line="360" w:lineRule="auto"/>
        <w:rPr>
          <w:lang w:val="en-US"/>
        </w:rPr>
      </w:pPr>
      <w:r w:rsidRPr="00CB413D">
        <w:rPr>
          <w:lang w:val="en-US"/>
        </w:rPr>
        <w:t xml:space="preserve">Solactive has decided to conduct a Market Consultation with regard to </w:t>
      </w:r>
      <w:r w:rsidR="0094111F">
        <w:rPr>
          <w:lang w:val="en-US"/>
        </w:rPr>
        <w:t>change of</w:t>
      </w:r>
      <w:r w:rsidR="001A3AA6">
        <w:rPr>
          <w:lang w:val="en-US"/>
        </w:rPr>
        <w:t xml:space="preserve"> </w:t>
      </w:r>
      <w:r w:rsidR="00495B8B">
        <w:rPr>
          <w:lang w:val="en-US"/>
        </w:rPr>
        <w:t xml:space="preserve">the </w:t>
      </w:r>
      <w:r w:rsidR="001A3AA6">
        <w:rPr>
          <w:lang w:val="en-US"/>
        </w:rPr>
        <w:t>index methodology of the following Ind</w:t>
      </w:r>
      <w:r w:rsidR="00C55884">
        <w:rPr>
          <w:lang w:val="en-US"/>
        </w:rPr>
        <w:t>ex</w:t>
      </w:r>
      <w:r w:rsidR="00725848">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1A3AA6" w14:paraId="7A3A75EF" w14:textId="77777777" w:rsidTr="00A73DFA">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DDC2523" w14:textId="77777777" w:rsidR="001A3AA6" w:rsidRDefault="001A3AA6" w:rsidP="00A73DFA">
            <w:pPr>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189983E" w14:textId="77777777" w:rsidR="001A3AA6" w:rsidRDefault="001A3AA6" w:rsidP="00A73DFA">
            <w:pPr>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6A244E8" w14:textId="77777777" w:rsidR="001A3AA6" w:rsidRDefault="001A3AA6" w:rsidP="00A73DFA">
            <w:pPr>
              <w:rPr>
                <w:b/>
                <w:bCs/>
              </w:rPr>
            </w:pPr>
            <w:r>
              <w:rPr>
                <w:b/>
                <w:bCs/>
              </w:rPr>
              <w:t>ISIN</w:t>
            </w:r>
          </w:p>
        </w:tc>
      </w:tr>
      <w:tr w:rsidR="001A3AA6" w:rsidRPr="00B9673A" w14:paraId="7CADF562" w14:textId="77777777" w:rsidTr="00A73DFA">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CB431E" w14:textId="7B4B5D16" w:rsidR="001A3AA6" w:rsidRPr="008F6BEA" w:rsidRDefault="008F6BEA" w:rsidP="00B9673A">
            <w:pPr>
              <w:rPr>
                <w:rFonts w:eastAsia="Calibri"/>
                <w:color w:val="000000"/>
                <w:sz w:val="22"/>
                <w:szCs w:val="22"/>
                <w:lang w:val="en-US" w:eastAsia="en-US"/>
              </w:rPr>
            </w:pPr>
            <w:r w:rsidRPr="008F6BEA">
              <w:rPr>
                <w:lang w:val="en-US"/>
              </w:rPr>
              <w:t>Solactive Climate and Energy Transition Index</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3DAA1F4" w14:textId="6F3A94BF" w:rsidR="001A3AA6" w:rsidRPr="005D5CB2" w:rsidRDefault="001A3AA6" w:rsidP="00B9673A">
            <w:pPr>
              <w:rPr>
                <w:rFonts w:eastAsia="Calibri"/>
                <w:color w:val="000000"/>
                <w:lang w:val="en-GB" w:eastAsia="en-US"/>
              </w:rPr>
            </w:pPr>
            <w:r w:rsidRPr="005D5CB2">
              <w:rPr>
                <w:rFonts w:eastAsia="Calibri"/>
                <w:color w:val="000000"/>
                <w:lang w:val="en-GB" w:eastAsia="en-US"/>
              </w:rPr>
              <w:t>.</w:t>
            </w:r>
            <w:r w:rsidR="00B9673A" w:rsidRPr="005D5CB2">
              <w:rPr>
                <w:rFonts w:eastAsia="Calibri"/>
                <w:color w:val="000000"/>
                <w:lang w:val="en-GB" w:eastAsia="en-US"/>
              </w:rPr>
              <w:t xml:space="preserve"> SOLCLET</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E6C2B1" w14:textId="77777777" w:rsidR="00B9673A" w:rsidRPr="005D5CB2" w:rsidRDefault="00B9673A" w:rsidP="00B9673A">
            <w:pPr>
              <w:spacing w:before="0"/>
              <w:rPr>
                <w:rFonts w:eastAsia="Calibri"/>
                <w:color w:val="000000"/>
                <w:lang w:val="en-GB" w:eastAsia="en-US"/>
              </w:rPr>
            </w:pPr>
            <w:r w:rsidRPr="005D5CB2">
              <w:rPr>
                <w:rFonts w:eastAsia="Calibri"/>
                <w:color w:val="000000"/>
                <w:lang w:val="en-GB" w:eastAsia="en-US"/>
              </w:rPr>
              <w:br/>
              <w:t>DE000SLA5H35</w:t>
            </w:r>
          </w:p>
          <w:p w14:paraId="1583CF22" w14:textId="1999386F" w:rsidR="001A3AA6" w:rsidRPr="005D5CB2" w:rsidRDefault="001A3AA6" w:rsidP="00B9673A">
            <w:pPr>
              <w:rPr>
                <w:rFonts w:eastAsia="Calibri"/>
                <w:color w:val="000000"/>
                <w:lang w:val="en-GB" w:eastAsia="en-US"/>
              </w:rPr>
            </w:pPr>
          </w:p>
        </w:tc>
      </w:tr>
    </w:tbl>
    <w:p w14:paraId="04A9D037" w14:textId="77777777" w:rsidR="0094111F" w:rsidRDefault="0094111F" w:rsidP="0094111F">
      <w:pPr>
        <w:spacing w:before="0" w:after="160" w:line="259" w:lineRule="auto"/>
        <w:rPr>
          <w:lang w:val="en-GB"/>
        </w:rPr>
      </w:pPr>
    </w:p>
    <w:p w14:paraId="01A5874E" w14:textId="77777777" w:rsidR="0094111F" w:rsidRDefault="0094111F" w:rsidP="00495B8B">
      <w:pPr>
        <w:rPr>
          <w:lang w:val="en-GB"/>
        </w:rPr>
      </w:pPr>
      <w:r>
        <w:rPr>
          <w:sz w:val="28"/>
          <w:szCs w:val="28"/>
          <w:u w:val="single"/>
          <w:lang w:val="en-GB"/>
        </w:rPr>
        <w:t>Rationale for Market Consultation</w:t>
      </w:r>
    </w:p>
    <w:p w14:paraId="449E2664" w14:textId="39EDF77B" w:rsidR="00033762" w:rsidRPr="00033762" w:rsidRDefault="001305E1" w:rsidP="00495B8B">
      <w:pPr>
        <w:rPr>
          <w:lang w:val="en-US"/>
        </w:rPr>
      </w:pPr>
      <w:r w:rsidRPr="001305E1">
        <w:rPr>
          <w:lang w:val="en-US"/>
        </w:rPr>
        <w:t xml:space="preserve">The rationale behind the proposed </w:t>
      </w:r>
      <w:r w:rsidR="0094111F">
        <w:rPr>
          <w:lang w:val="en-US"/>
        </w:rPr>
        <w:t>methodology change is</w:t>
      </w:r>
      <w:r w:rsidR="00033762">
        <w:rPr>
          <w:lang w:val="en-US"/>
        </w:rPr>
        <w:t xml:space="preserve"> to</w:t>
      </w:r>
      <w:r w:rsidR="0094111F">
        <w:rPr>
          <w:lang w:val="en-US"/>
        </w:rPr>
        <w:t xml:space="preserve"> </w:t>
      </w:r>
      <w:r w:rsidR="0094111F" w:rsidRPr="00160389">
        <w:rPr>
          <w:lang w:val="en-US"/>
        </w:rPr>
        <w:t>clarify the treatment of companies with multiple entities and/or multiple share classes</w:t>
      </w:r>
      <w:r w:rsidR="00033762">
        <w:rPr>
          <w:lang w:val="en-US"/>
        </w:rPr>
        <w:t xml:space="preserve"> in above Index</w:t>
      </w:r>
      <w:r w:rsidR="0072272D">
        <w:rPr>
          <w:lang w:val="en-US"/>
        </w:rPr>
        <w:t>.</w:t>
      </w:r>
      <w:r w:rsidR="00033762" w:rsidRPr="00033762">
        <w:rPr>
          <w:lang w:val="en-US"/>
        </w:rPr>
        <w:t xml:space="preserve"> </w:t>
      </w:r>
      <w:r w:rsidR="00495B8B">
        <w:rPr>
          <w:lang w:val="en-US"/>
        </w:rPr>
        <w:t xml:space="preserve">In addition, a current overrepresentation of a dual listed company shall be corrected in an extraordinary adjustment. </w:t>
      </w:r>
      <w:r w:rsidR="0072272D">
        <w:rPr>
          <w:lang w:val="en-US"/>
        </w:rPr>
        <w:t xml:space="preserve">The followings changes </w:t>
      </w:r>
      <w:r w:rsidR="00495B8B">
        <w:rPr>
          <w:lang w:val="en-US"/>
        </w:rPr>
        <w:t xml:space="preserve">to the Index Guideline </w:t>
      </w:r>
      <w:r w:rsidR="0072272D">
        <w:rPr>
          <w:lang w:val="en-US"/>
        </w:rPr>
        <w:t xml:space="preserve">are proposed </w:t>
      </w:r>
      <w:r w:rsidR="00495B8B" w:rsidRPr="00495B8B">
        <w:rPr>
          <w:lang w:val="en-US"/>
        </w:rPr>
        <w:t>and</w:t>
      </w:r>
      <w:r w:rsidR="00033762" w:rsidRPr="00495B8B">
        <w:rPr>
          <w:lang w:val="en-US"/>
        </w:rPr>
        <w:t xml:space="preserve"> an extraordinary </w:t>
      </w:r>
      <w:r w:rsidR="00495B8B" w:rsidRPr="00495B8B">
        <w:rPr>
          <w:lang w:val="en-US"/>
        </w:rPr>
        <w:t>i</w:t>
      </w:r>
      <w:r w:rsidR="00033762" w:rsidRPr="00495B8B">
        <w:rPr>
          <w:lang w:val="en-US"/>
        </w:rPr>
        <w:t xml:space="preserve">ndex </w:t>
      </w:r>
      <w:r w:rsidR="00495B8B" w:rsidRPr="00495B8B">
        <w:rPr>
          <w:lang w:val="en-US"/>
        </w:rPr>
        <w:t>a</w:t>
      </w:r>
      <w:r w:rsidR="00033762" w:rsidRPr="00495B8B">
        <w:rPr>
          <w:lang w:val="en-US"/>
        </w:rPr>
        <w:t>djustment is suggested.</w:t>
      </w:r>
    </w:p>
    <w:p w14:paraId="6B60AF76" w14:textId="70065106" w:rsidR="001305E1" w:rsidRPr="001305E1" w:rsidRDefault="001305E1" w:rsidP="00495B8B">
      <w:pPr>
        <w:rPr>
          <w:caps/>
          <w:sz w:val="28"/>
          <w:szCs w:val="28"/>
          <w:u w:val="single"/>
          <w:lang w:val="en-GB"/>
        </w:rPr>
      </w:pPr>
      <w:r w:rsidRPr="001305E1">
        <w:rPr>
          <w:sz w:val="28"/>
          <w:szCs w:val="28"/>
          <w:u w:val="single"/>
          <w:lang w:val="en-GB"/>
        </w:rPr>
        <w:t>Changes to the Index Guideline</w:t>
      </w:r>
    </w:p>
    <w:p w14:paraId="34B7D50E" w14:textId="2465CD37" w:rsidR="00033762" w:rsidRDefault="00033762" w:rsidP="00495B8B">
      <w:pPr>
        <w:numPr>
          <w:ilvl w:val="0"/>
          <w:numId w:val="24"/>
        </w:numPr>
        <w:snapToGrid w:val="0"/>
        <w:ind w:left="360"/>
        <w:jc w:val="left"/>
        <w:rPr>
          <w:color w:val="000000"/>
          <w:lang w:val="en-US"/>
        </w:rPr>
      </w:pPr>
      <w:r w:rsidRPr="00033762">
        <w:rPr>
          <w:color w:val="000000"/>
          <w:lang w:val="en-US"/>
        </w:rPr>
        <w:t xml:space="preserve">Amendment of </w:t>
      </w:r>
      <w:r w:rsidR="00495B8B">
        <w:rPr>
          <w:color w:val="000000"/>
          <w:lang w:val="en-US"/>
        </w:rPr>
        <w:t>s</w:t>
      </w:r>
      <w:r w:rsidRPr="00033762">
        <w:rPr>
          <w:color w:val="000000"/>
          <w:lang w:val="en-US"/>
        </w:rPr>
        <w:t>ection 2.1.5</w:t>
      </w:r>
      <w:r w:rsidR="00495B8B">
        <w:rPr>
          <w:color w:val="000000"/>
          <w:lang w:val="en-US"/>
        </w:rPr>
        <w:t xml:space="preserve"> in order to introduce additional criteria to identify and exclude certain shares of dual listed companies and companies with multiple share classes:</w:t>
      </w:r>
    </w:p>
    <w:p w14:paraId="707E75FE" w14:textId="769CAEEA" w:rsidR="00495B8B" w:rsidRPr="00033762" w:rsidRDefault="00495B8B" w:rsidP="00495B8B">
      <w:pPr>
        <w:snapToGrid w:val="0"/>
        <w:jc w:val="left"/>
        <w:rPr>
          <w:color w:val="000000"/>
          <w:lang w:val="en-US"/>
        </w:rPr>
      </w:pPr>
      <w:r>
        <w:rPr>
          <w:color w:val="000000"/>
          <w:lang w:val="en-US"/>
        </w:rPr>
        <w:t>From:</w:t>
      </w:r>
    </w:p>
    <w:p w14:paraId="0B755654" w14:textId="77777777" w:rsidR="00033762" w:rsidRPr="00495B8B" w:rsidRDefault="00033762" w:rsidP="00495B8B">
      <w:pPr>
        <w:rPr>
          <w:rFonts w:eastAsia="Calibri"/>
          <w:color w:val="000000"/>
          <w:lang w:val="en-GB" w:eastAsia="en-US"/>
        </w:rPr>
      </w:pPr>
      <w:r w:rsidRPr="00495B8B">
        <w:rPr>
          <w:rFonts w:eastAsia="Calibri"/>
          <w:color w:val="000000"/>
          <w:lang w:val="en-GB" w:eastAsia="en-US"/>
        </w:rPr>
        <w:t>“Final Index Constituents are then selected based on the following criteria:</w:t>
      </w:r>
    </w:p>
    <w:p w14:paraId="2F7D78A2" w14:textId="77777777" w:rsidR="00033762" w:rsidRPr="00033762" w:rsidRDefault="00033762" w:rsidP="00495B8B">
      <w:pPr>
        <w:numPr>
          <w:ilvl w:val="0"/>
          <w:numId w:val="27"/>
        </w:numPr>
        <w:rPr>
          <w:color w:val="000000"/>
          <w:lang w:val="en-GB"/>
        </w:rPr>
      </w:pPr>
      <w:r w:rsidRPr="00033762">
        <w:rPr>
          <w:color w:val="000000"/>
          <w:lang w:val="en-GB"/>
        </w:rPr>
        <w:t>On the Index Start Date the top 40 shares based on highest gross dividend yield are selected, subject to a country cap of 10 shares per country and a sector cap of 8 shares per sector.</w:t>
      </w:r>
    </w:p>
    <w:p w14:paraId="7B89A774" w14:textId="77777777" w:rsidR="00033762" w:rsidRPr="00033762" w:rsidRDefault="00033762" w:rsidP="00495B8B">
      <w:pPr>
        <w:numPr>
          <w:ilvl w:val="0"/>
          <w:numId w:val="27"/>
        </w:numPr>
        <w:rPr>
          <w:color w:val="000000"/>
          <w:lang w:val="en-GB"/>
        </w:rPr>
      </w:pPr>
      <w:r w:rsidRPr="00033762">
        <w:rPr>
          <w:color w:val="000000"/>
          <w:lang w:val="en-GB"/>
        </w:rPr>
        <w:t>On any subsequent Selection Date all shares that are currently part if the Index are selected if they have not been excluded in any selection stage before. If this results in a number of constituents that is less than 40, additional securities will be selected based on highest gross dividend yield, subject to a country cap of 10 shares per country and a sector cap of 8 shares per sector.”</w:t>
      </w:r>
    </w:p>
    <w:p w14:paraId="6AEA0DB7" w14:textId="77777777" w:rsidR="00033762" w:rsidRPr="00033762" w:rsidRDefault="00033762" w:rsidP="00495B8B">
      <w:pPr>
        <w:shd w:val="clear" w:color="auto" w:fill="FFFFFF"/>
        <w:rPr>
          <w:rFonts w:eastAsia="Calibri"/>
          <w:color w:val="000000"/>
          <w:lang w:val="en-GB" w:eastAsia="en-US"/>
        </w:rPr>
      </w:pPr>
      <w:r w:rsidRPr="00033762">
        <w:rPr>
          <w:rFonts w:eastAsia="Calibri"/>
          <w:color w:val="000000"/>
          <w:lang w:val="en-GB" w:eastAsia="en-US"/>
        </w:rPr>
        <w:t>To:</w:t>
      </w:r>
    </w:p>
    <w:p w14:paraId="139A21C3" w14:textId="77777777" w:rsidR="00AE2FDA" w:rsidRPr="004E452B" w:rsidRDefault="00AE2FDA" w:rsidP="00495B8B">
      <w:pPr>
        <w:ind w:firstLine="360"/>
        <w:rPr>
          <w:rFonts w:ascii="Calibri" w:hAnsi="Calibri"/>
          <w:lang w:val="en-US" w:eastAsia="en-US"/>
        </w:rPr>
      </w:pPr>
      <w:r w:rsidRPr="004E452B">
        <w:rPr>
          <w:lang w:val="en-US"/>
        </w:rPr>
        <w:t>“Final Index Constituents are then selected based on the following criteria:</w:t>
      </w:r>
    </w:p>
    <w:p w14:paraId="7FFEB71F" w14:textId="77777777" w:rsidR="00AE2FDA" w:rsidRPr="004E452B" w:rsidRDefault="00AE2FDA" w:rsidP="00495B8B">
      <w:pPr>
        <w:pStyle w:val="ListParagraph"/>
        <w:numPr>
          <w:ilvl w:val="0"/>
          <w:numId w:val="26"/>
        </w:numPr>
        <w:rPr>
          <w:lang w:val="en-US"/>
        </w:rPr>
      </w:pPr>
      <w:r w:rsidRPr="004E452B">
        <w:rPr>
          <w:lang w:val="en-US"/>
        </w:rPr>
        <w:t xml:space="preserve">On the Index Start Date the top 40 shares based on highest gross dividend yield are selected, subject to a country cap of 10 shares per country and a sector cap of 8 shares per sector; </w:t>
      </w:r>
    </w:p>
    <w:p w14:paraId="215846D9" w14:textId="77777777" w:rsidR="00AE2FDA" w:rsidRPr="004E452B" w:rsidRDefault="00AE2FDA" w:rsidP="00495B8B">
      <w:pPr>
        <w:pStyle w:val="ListParagraph"/>
        <w:numPr>
          <w:ilvl w:val="0"/>
          <w:numId w:val="26"/>
        </w:numPr>
        <w:jc w:val="left"/>
        <w:rPr>
          <w:lang w:val="en-US"/>
        </w:rPr>
      </w:pPr>
      <w:r w:rsidRPr="004E452B">
        <w:rPr>
          <w:lang w:val="en-US"/>
        </w:rPr>
        <w:lastRenderedPageBreak/>
        <w:t xml:space="preserve">On any subsequent Selection Date </w:t>
      </w:r>
    </w:p>
    <w:p w14:paraId="47D273D7" w14:textId="77777777" w:rsidR="00AE2FDA" w:rsidRPr="004E452B" w:rsidRDefault="00AE2FDA" w:rsidP="00495B8B">
      <w:pPr>
        <w:pStyle w:val="ListParagraph"/>
        <w:numPr>
          <w:ilvl w:val="1"/>
          <w:numId w:val="26"/>
        </w:numPr>
        <w:rPr>
          <w:color w:val="000000" w:themeColor="text1"/>
          <w:lang w:val="en-US"/>
        </w:rPr>
      </w:pPr>
      <w:r w:rsidRPr="004E452B">
        <w:rPr>
          <w:lang w:val="en-US"/>
        </w:rPr>
        <w:t xml:space="preserve">all shares that are currently part of the Index are selected if they have not been excluded in any selection stage before. If this results in a number of constituents that is less than </w:t>
      </w:r>
      <w:r w:rsidRPr="004E452B">
        <w:rPr>
          <w:color w:val="000000" w:themeColor="text1"/>
          <w:lang w:val="en-US"/>
        </w:rPr>
        <w:t>40, additional securities will be selected based on highest gross dividend yield, subject to a country cap of 10 shares per country and a sector cap of 8 shares per sector;</w:t>
      </w:r>
    </w:p>
    <w:p w14:paraId="6FB2E4B5" w14:textId="77777777" w:rsidR="00AE2FDA" w:rsidRPr="004E452B" w:rsidRDefault="00AE2FDA" w:rsidP="00495B8B">
      <w:pPr>
        <w:pStyle w:val="ListParagraph"/>
        <w:numPr>
          <w:ilvl w:val="1"/>
          <w:numId w:val="26"/>
        </w:numPr>
        <w:rPr>
          <w:color w:val="000000" w:themeColor="text1"/>
          <w:lang w:val="en-US"/>
        </w:rPr>
      </w:pPr>
      <w:r w:rsidRPr="004E452B">
        <w:rPr>
          <w:color w:val="000000" w:themeColor="text1"/>
          <w:lang w:val="en-US"/>
        </w:rPr>
        <w:t>In case of a Dual Listed Company, only one entity is eligible for the inclusion as Index Component.</w:t>
      </w:r>
    </w:p>
    <w:p w14:paraId="3CFCD948" w14:textId="24BD58B7" w:rsidR="00AE2FDA" w:rsidRPr="004E452B" w:rsidRDefault="00AE2FDA" w:rsidP="00495B8B">
      <w:pPr>
        <w:pStyle w:val="ListParagraph"/>
        <w:numPr>
          <w:ilvl w:val="2"/>
          <w:numId w:val="26"/>
        </w:numPr>
        <w:rPr>
          <w:color w:val="000000" w:themeColor="text1"/>
          <w:lang w:val="en-US"/>
        </w:rPr>
      </w:pPr>
      <w:r w:rsidRPr="004E452B">
        <w:rPr>
          <w:color w:val="000000" w:themeColor="text1"/>
          <w:lang w:val="en-US"/>
        </w:rPr>
        <w:t xml:space="preserve">If one of the two potential entities </w:t>
      </w:r>
      <w:proofErr w:type="gramStart"/>
      <w:r w:rsidR="00495B8B">
        <w:rPr>
          <w:color w:val="000000" w:themeColor="text1"/>
          <w:lang w:val="en-US"/>
        </w:rPr>
        <w:t>is</w:t>
      </w:r>
      <w:proofErr w:type="gramEnd"/>
      <w:r w:rsidRPr="004E452B">
        <w:rPr>
          <w:color w:val="000000" w:themeColor="text1"/>
          <w:lang w:val="en-US"/>
        </w:rPr>
        <w:t xml:space="preserve"> currently an Index Component the existing Index Component will be kept in the Index.</w:t>
      </w:r>
    </w:p>
    <w:p w14:paraId="4B287DCA" w14:textId="77777777" w:rsidR="00AE2FDA" w:rsidRPr="004E452B" w:rsidRDefault="00AE2FDA" w:rsidP="00495B8B">
      <w:pPr>
        <w:pStyle w:val="ListParagraph"/>
        <w:numPr>
          <w:ilvl w:val="2"/>
          <w:numId w:val="26"/>
        </w:numPr>
        <w:rPr>
          <w:color w:val="000000" w:themeColor="text1"/>
          <w:lang w:val="en-US"/>
        </w:rPr>
      </w:pPr>
      <w:r w:rsidRPr="004E452B">
        <w:rPr>
          <w:color w:val="000000" w:themeColor="text1"/>
          <w:lang w:val="en-US"/>
        </w:rPr>
        <w:t>If none of the two potential entities is currently an Index Component the lowest ranked entity out of the two will be replaced with the next higher ranked successor, according to the rules defined in Section 2.1.5.</w:t>
      </w:r>
    </w:p>
    <w:p w14:paraId="6B6E9808" w14:textId="77777777" w:rsidR="00AE2FDA" w:rsidRPr="004E452B" w:rsidRDefault="00AE2FDA" w:rsidP="00495B8B">
      <w:pPr>
        <w:pStyle w:val="ListParagraph"/>
        <w:numPr>
          <w:ilvl w:val="1"/>
          <w:numId w:val="26"/>
        </w:numPr>
        <w:rPr>
          <w:color w:val="000000" w:themeColor="text1"/>
          <w:lang w:val="en-US"/>
        </w:rPr>
      </w:pPr>
      <w:r w:rsidRPr="004E452B">
        <w:rPr>
          <w:color w:val="000000" w:themeColor="text1"/>
          <w:lang w:val="en-US"/>
        </w:rPr>
        <w:t>In case of a company with Multiple Share Classes, only one share class is eligible for the inclusion as Index Component.</w:t>
      </w:r>
    </w:p>
    <w:p w14:paraId="0CCB4918" w14:textId="77777777" w:rsidR="00AE2FDA" w:rsidRPr="004E452B" w:rsidRDefault="00AE2FDA" w:rsidP="00495B8B">
      <w:pPr>
        <w:pStyle w:val="ListParagraph"/>
        <w:numPr>
          <w:ilvl w:val="2"/>
          <w:numId w:val="26"/>
        </w:numPr>
        <w:rPr>
          <w:color w:val="000000" w:themeColor="text1"/>
          <w:lang w:val="en-US"/>
        </w:rPr>
      </w:pPr>
      <w:r w:rsidRPr="004E452B">
        <w:rPr>
          <w:color w:val="000000" w:themeColor="text1"/>
          <w:lang w:val="en-US"/>
        </w:rPr>
        <w:t>If one of the Multiple Share Classes is currently represented by an Index Component the respective share class will be kept in the Index.</w:t>
      </w:r>
    </w:p>
    <w:p w14:paraId="6DBFDDA1" w14:textId="77777777" w:rsidR="00AE2FDA" w:rsidRPr="004E452B" w:rsidRDefault="00AE2FDA" w:rsidP="00495B8B">
      <w:pPr>
        <w:pStyle w:val="ListParagraph"/>
        <w:numPr>
          <w:ilvl w:val="2"/>
          <w:numId w:val="26"/>
        </w:numPr>
        <w:rPr>
          <w:color w:val="000000" w:themeColor="text1"/>
          <w:lang w:val="en-US"/>
        </w:rPr>
      </w:pPr>
      <w:r w:rsidRPr="004E452B">
        <w:rPr>
          <w:color w:val="000000" w:themeColor="text1"/>
          <w:lang w:val="en-US"/>
        </w:rPr>
        <w:t>If none of the Multiple Share Classes is currently represented by an Index Component the lowest ranked share class will be replaced with the next higher ranked successor, according to the rules defined in Section 2.1.5.”</w:t>
      </w:r>
    </w:p>
    <w:p w14:paraId="5A5131AA" w14:textId="77777777" w:rsidR="00033762" w:rsidRPr="00033762" w:rsidRDefault="00033762" w:rsidP="00495B8B">
      <w:pPr>
        <w:shd w:val="clear" w:color="auto" w:fill="FFFFFF"/>
        <w:rPr>
          <w:rFonts w:eastAsia="Calibri"/>
          <w:color w:val="000000"/>
          <w:lang w:val="en-US" w:eastAsia="en-US"/>
        </w:rPr>
      </w:pPr>
    </w:p>
    <w:p w14:paraId="354DCCBE" w14:textId="3989829C" w:rsidR="00BB27EE" w:rsidRPr="004E452B" w:rsidRDefault="00BB27EE" w:rsidP="00495B8B">
      <w:pPr>
        <w:numPr>
          <w:ilvl w:val="0"/>
          <w:numId w:val="24"/>
        </w:numPr>
        <w:shd w:val="clear" w:color="auto" w:fill="FFFFFF"/>
        <w:autoSpaceDE w:val="0"/>
        <w:autoSpaceDN w:val="0"/>
        <w:adjustRightInd w:val="0"/>
        <w:ind w:left="284" w:hanging="284"/>
        <w:jc w:val="left"/>
        <w:rPr>
          <w:rFonts w:eastAsia="Calibri" w:cs="Calibri"/>
          <w:color w:val="000000"/>
          <w:lang w:val="en-GB"/>
        </w:rPr>
      </w:pPr>
      <w:r w:rsidRPr="004E452B">
        <w:rPr>
          <w:lang w:val="en-US"/>
        </w:rPr>
        <w:t xml:space="preserve">The following definitions will be added under </w:t>
      </w:r>
      <w:r w:rsidR="00495B8B">
        <w:rPr>
          <w:lang w:val="en-US"/>
        </w:rPr>
        <w:t>s</w:t>
      </w:r>
      <w:r w:rsidRPr="004E452B">
        <w:rPr>
          <w:lang w:val="en-US"/>
        </w:rPr>
        <w:t>ection 4</w:t>
      </w:r>
    </w:p>
    <w:p w14:paraId="4F3F2D89" w14:textId="1A4B6348" w:rsidR="00BB27EE" w:rsidRPr="004E452B" w:rsidRDefault="00BB27EE" w:rsidP="00495B8B">
      <w:pPr>
        <w:ind w:left="284"/>
        <w:rPr>
          <w:rFonts w:ascii="Calibri" w:hAnsi="Calibri"/>
          <w:lang w:val="en-US" w:eastAsia="en-US"/>
        </w:rPr>
      </w:pPr>
      <w:r w:rsidRPr="004E452B">
        <w:rPr>
          <w:lang w:val="en-US"/>
        </w:rPr>
        <w:t>“</w:t>
      </w:r>
      <w:r w:rsidRPr="004E452B">
        <w:rPr>
          <w:b/>
          <w:bCs/>
          <w:lang w:val="en-US"/>
        </w:rPr>
        <w:t>Dual Listed Company</w:t>
      </w:r>
      <w:r w:rsidRPr="004E452B">
        <w:rPr>
          <w:lang w:val="en-US"/>
        </w:rPr>
        <w:t xml:space="preserve">” refers to a corporate structure in which two </w:t>
      </w:r>
      <w:proofErr w:type="gramStart"/>
      <w:r w:rsidRPr="004E452B">
        <w:rPr>
          <w:lang w:val="en-US"/>
        </w:rPr>
        <w:t>corporations</w:t>
      </w:r>
      <w:proofErr w:type="gramEnd"/>
      <w:r w:rsidRPr="004E452B">
        <w:rPr>
          <w:lang w:val="en-US"/>
        </w:rPr>
        <w:t xml:space="preserve"> function as a single operating business through a legal equalization agreement, but retain separate legal identities and stock exchange listings.</w:t>
      </w:r>
    </w:p>
    <w:p w14:paraId="0D8E1FB1" w14:textId="751D650B" w:rsidR="00495B8B" w:rsidRDefault="00BB27EE" w:rsidP="00495B8B">
      <w:pPr>
        <w:ind w:left="284"/>
        <w:jc w:val="left"/>
        <w:rPr>
          <w:lang w:val="en-US"/>
        </w:rPr>
      </w:pPr>
      <w:r w:rsidRPr="004E452B">
        <w:rPr>
          <w:lang w:val="en-US"/>
        </w:rPr>
        <w:t>“</w:t>
      </w:r>
      <w:r w:rsidRPr="004E452B">
        <w:rPr>
          <w:b/>
          <w:bCs/>
          <w:lang w:val="en-US"/>
        </w:rPr>
        <w:t>Multiple Share Classes</w:t>
      </w:r>
      <w:r w:rsidRPr="004E452B">
        <w:rPr>
          <w:lang w:val="en-US"/>
        </w:rPr>
        <w:t>” refers to more than one class of common stock, usually identify a given class with alphabetic markers, such as "Class A" shares and "Class B" shares. Different share classes carry different rights and privileges within the same entity.</w:t>
      </w:r>
    </w:p>
    <w:p w14:paraId="03BA50D5" w14:textId="77777777" w:rsidR="00495B8B" w:rsidRDefault="00495B8B" w:rsidP="00495B8B">
      <w:pPr>
        <w:ind w:left="284"/>
        <w:jc w:val="left"/>
        <w:rPr>
          <w:lang w:val="en-US"/>
        </w:rPr>
      </w:pPr>
    </w:p>
    <w:p w14:paraId="45C2D01D" w14:textId="648FB492" w:rsidR="00BB27EE" w:rsidRPr="00495B8B" w:rsidRDefault="00495B8B" w:rsidP="00495B8B">
      <w:pPr>
        <w:jc w:val="left"/>
        <w:rPr>
          <w:sz w:val="28"/>
          <w:szCs w:val="28"/>
          <w:u w:val="single"/>
          <w:lang w:val="en-US"/>
        </w:rPr>
      </w:pPr>
      <w:r w:rsidRPr="00495B8B">
        <w:rPr>
          <w:sz w:val="28"/>
          <w:szCs w:val="28"/>
          <w:u w:val="single"/>
          <w:lang w:val="en-US"/>
        </w:rPr>
        <w:t>Adjustment of the</w:t>
      </w:r>
      <w:r w:rsidR="00BB27EE" w:rsidRPr="00495B8B">
        <w:rPr>
          <w:sz w:val="28"/>
          <w:szCs w:val="28"/>
          <w:u w:val="single"/>
          <w:lang w:val="en-US"/>
        </w:rPr>
        <w:t> </w:t>
      </w:r>
      <w:r w:rsidRPr="00495B8B">
        <w:rPr>
          <w:sz w:val="28"/>
          <w:szCs w:val="28"/>
          <w:u w:val="single"/>
          <w:lang w:val="en-US"/>
        </w:rPr>
        <w:t>index composition</w:t>
      </w:r>
    </w:p>
    <w:p w14:paraId="77EB2C48" w14:textId="2316FBB7" w:rsidR="00033762" w:rsidRPr="00033762" w:rsidRDefault="0014345E" w:rsidP="00495B8B">
      <w:pPr>
        <w:numPr>
          <w:ilvl w:val="0"/>
          <w:numId w:val="24"/>
        </w:numPr>
        <w:shd w:val="clear" w:color="auto" w:fill="FFFFFF"/>
        <w:autoSpaceDE w:val="0"/>
        <w:autoSpaceDN w:val="0"/>
        <w:adjustRightInd w:val="0"/>
        <w:ind w:left="284" w:hanging="284"/>
        <w:rPr>
          <w:rFonts w:eastAsia="Calibri" w:cs="Calibri"/>
          <w:color w:val="000000"/>
          <w:lang w:val="en-GB"/>
        </w:rPr>
      </w:pPr>
      <w:r>
        <w:rPr>
          <w:rFonts w:eastAsia="Calibri"/>
          <w:color w:val="000000"/>
          <w:lang w:val="en-GB" w:eastAsia="en-US"/>
        </w:rPr>
        <w:t>I</w:t>
      </w:r>
      <w:r w:rsidR="00033762" w:rsidRPr="00033762">
        <w:rPr>
          <w:rFonts w:eastAsia="Calibri"/>
          <w:color w:val="000000"/>
          <w:lang w:val="en-GB" w:eastAsia="en-US"/>
        </w:rPr>
        <w:t xml:space="preserve">n order to </w:t>
      </w:r>
      <w:r w:rsidR="00495B8B">
        <w:rPr>
          <w:rFonts w:eastAsia="Calibri"/>
          <w:color w:val="000000"/>
          <w:lang w:val="en-GB" w:eastAsia="en-US"/>
        </w:rPr>
        <w:t>reflect</w:t>
      </w:r>
      <w:r w:rsidR="00033762" w:rsidRPr="00033762">
        <w:rPr>
          <w:rFonts w:eastAsia="Calibri"/>
          <w:color w:val="000000"/>
          <w:lang w:val="en-GB" w:eastAsia="en-US"/>
        </w:rPr>
        <w:t xml:space="preserve"> the proposed change under point 1</w:t>
      </w:r>
      <w:r>
        <w:rPr>
          <w:rFonts w:eastAsia="Calibri"/>
          <w:color w:val="000000"/>
          <w:lang w:val="en-GB" w:eastAsia="en-US"/>
        </w:rPr>
        <w:t xml:space="preserve"> and adjust the index composition accordingly one of the two entities of the dual listed company Rio Tinto (</w:t>
      </w:r>
      <w:r w:rsidR="00033762" w:rsidRPr="00033762">
        <w:rPr>
          <w:rFonts w:eastAsia="Calibri"/>
          <w:color w:val="000000"/>
          <w:lang w:val="en-GB" w:eastAsia="en-US"/>
        </w:rPr>
        <w:t>RIO.L (London Listing)</w:t>
      </w:r>
      <w:r w:rsidR="00DF37CB">
        <w:rPr>
          <w:rFonts w:eastAsia="Calibri"/>
          <w:color w:val="000000"/>
          <w:lang w:val="en-GB" w:eastAsia="en-US"/>
        </w:rPr>
        <w:t xml:space="preserve"> and</w:t>
      </w:r>
      <w:r w:rsidR="00033762" w:rsidRPr="00033762">
        <w:rPr>
          <w:rFonts w:eastAsia="Calibri"/>
          <w:color w:val="000000"/>
          <w:lang w:val="en-GB" w:eastAsia="en-US"/>
        </w:rPr>
        <w:t xml:space="preserve"> </w:t>
      </w:r>
      <w:r w:rsidRPr="00033762">
        <w:rPr>
          <w:rFonts w:eastAsia="Calibri"/>
          <w:color w:val="000000"/>
          <w:lang w:val="en-GB" w:eastAsia="en-US"/>
        </w:rPr>
        <w:t xml:space="preserve">RIO.AX (Australian Listing) </w:t>
      </w:r>
      <w:r>
        <w:rPr>
          <w:rFonts w:eastAsia="Calibri"/>
          <w:color w:val="000000"/>
          <w:lang w:val="en-GB" w:eastAsia="en-US"/>
        </w:rPr>
        <w:t xml:space="preserve">will be removed from the Index. In accordance with the proposed amendment </w:t>
      </w:r>
      <w:r w:rsidRPr="00033762">
        <w:rPr>
          <w:rFonts w:eastAsia="Calibri"/>
          <w:color w:val="000000"/>
          <w:lang w:val="en-GB" w:eastAsia="en-US"/>
        </w:rPr>
        <w:t xml:space="preserve">RIO.L (London Listing) </w:t>
      </w:r>
      <w:r>
        <w:rPr>
          <w:rFonts w:eastAsia="Calibri"/>
          <w:color w:val="000000"/>
          <w:lang w:val="en-GB" w:eastAsia="en-US"/>
        </w:rPr>
        <w:t xml:space="preserve">will be removed from the Index </w:t>
      </w:r>
      <w:r w:rsidR="00DF37CB">
        <w:rPr>
          <w:rFonts w:eastAsia="Calibri"/>
          <w:color w:val="000000"/>
          <w:lang w:val="en-GB" w:eastAsia="en-US"/>
        </w:rPr>
        <w:t xml:space="preserve">because </w:t>
      </w:r>
      <w:r w:rsidR="00DF37CB" w:rsidRPr="00033762">
        <w:rPr>
          <w:rFonts w:eastAsia="Calibri"/>
          <w:color w:val="000000"/>
          <w:lang w:val="en-GB" w:eastAsia="en-US"/>
        </w:rPr>
        <w:t xml:space="preserve">RIO.AX (Australian Listing) </w:t>
      </w:r>
      <w:r w:rsidR="00033762" w:rsidRPr="00033762">
        <w:rPr>
          <w:rFonts w:eastAsia="Calibri"/>
          <w:color w:val="000000"/>
          <w:lang w:val="en-GB" w:eastAsia="en-US"/>
        </w:rPr>
        <w:t xml:space="preserve">was part of the Index before the ordinary rebalancing in March 2019. </w:t>
      </w:r>
      <w:r w:rsidR="00DF37CB" w:rsidRPr="00033762">
        <w:rPr>
          <w:rFonts w:eastAsia="Calibri"/>
          <w:color w:val="000000"/>
          <w:lang w:val="en-GB" w:eastAsia="en-US"/>
        </w:rPr>
        <w:t xml:space="preserve">RIO.L (London Listing) </w:t>
      </w:r>
      <w:r w:rsidR="00DF37CB">
        <w:rPr>
          <w:rFonts w:eastAsia="Calibri"/>
          <w:color w:val="000000"/>
          <w:lang w:val="en-GB" w:eastAsia="en-US"/>
        </w:rPr>
        <w:t xml:space="preserve">will be replaced by </w:t>
      </w:r>
      <w:r w:rsidR="00033762" w:rsidRPr="00033762">
        <w:rPr>
          <w:rFonts w:eastAsia="Calibri"/>
          <w:color w:val="000000"/>
          <w:lang w:val="en-GB" w:eastAsia="en-US"/>
        </w:rPr>
        <w:t>BMWG.DE</w:t>
      </w:r>
      <w:r w:rsidR="00DF37CB">
        <w:rPr>
          <w:rFonts w:eastAsia="Calibri"/>
          <w:color w:val="000000"/>
          <w:lang w:val="en-GB" w:eastAsia="en-US"/>
        </w:rPr>
        <w:t xml:space="preserve"> as this </w:t>
      </w:r>
      <w:r w:rsidR="00033762" w:rsidRPr="00033762">
        <w:rPr>
          <w:rFonts w:eastAsia="Calibri"/>
          <w:color w:val="000000"/>
          <w:lang w:val="en-GB" w:eastAsia="en-US"/>
        </w:rPr>
        <w:t xml:space="preserve">is the successor in line with the selection rules </w:t>
      </w:r>
      <w:r w:rsidR="00DF37CB">
        <w:rPr>
          <w:rFonts w:eastAsia="Calibri"/>
          <w:color w:val="000000"/>
          <w:lang w:val="en-GB" w:eastAsia="en-US"/>
        </w:rPr>
        <w:t xml:space="preserve">specified </w:t>
      </w:r>
      <w:r w:rsidR="00033762" w:rsidRPr="00033762">
        <w:rPr>
          <w:rFonts w:eastAsia="Calibri"/>
          <w:color w:val="000000"/>
          <w:lang w:val="en-GB" w:eastAsia="en-US"/>
        </w:rPr>
        <w:t xml:space="preserve">in the </w:t>
      </w:r>
      <w:r w:rsidR="00DF37CB">
        <w:rPr>
          <w:rFonts w:eastAsia="Calibri"/>
          <w:color w:val="000000"/>
          <w:lang w:val="en-GB" w:eastAsia="en-US"/>
        </w:rPr>
        <w:t xml:space="preserve">index </w:t>
      </w:r>
      <w:r w:rsidR="00033762" w:rsidRPr="00033762">
        <w:rPr>
          <w:rFonts w:eastAsia="Calibri"/>
          <w:color w:val="000000"/>
          <w:lang w:val="en-GB" w:eastAsia="en-US"/>
        </w:rPr>
        <w:t>guideline.</w:t>
      </w:r>
      <w:r w:rsidR="00DF37CB">
        <w:rPr>
          <w:rFonts w:eastAsia="Calibri"/>
          <w:color w:val="000000"/>
          <w:lang w:val="en-GB" w:eastAsia="en-US"/>
        </w:rPr>
        <w:t xml:space="preserve"> The weight review and corresponding weight adjustment due on the first business day in July will be carried out based on the adjusted index composition.</w:t>
      </w:r>
    </w:p>
    <w:p w14:paraId="04EEFDD1" w14:textId="77777777" w:rsidR="0014345E" w:rsidRDefault="0014345E" w:rsidP="00495B8B">
      <w:pPr>
        <w:rPr>
          <w:lang w:val="en-US"/>
        </w:rPr>
      </w:pPr>
    </w:p>
    <w:p w14:paraId="17C6E5C3" w14:textId="5054E909" w:rsidR="0014345E" w:rsidRPr="0014345E" w:rsidRDefault="0014345E" w:rsidP="00495B8B">
      <w:pPr>
        <w:rPr>
          <w:sz w:val="28"/>
          <w:szCs w:val="28"/>
          <w:u w:val="single"/>
          <w:lang w:val="en-US"/>
        </w:rPr>
      </w:pPr>
      <w:r w:rsidRPr="0014345E">
        <w:rPr>
          <w:sz w:val="28"/>
          <w:szCs w:val="28"/>
          <w:u w:val="single"/>
          <w:lang w:val="en-US"/>
        </w:rPr>
        <w:t>Timing for Implementation</w:t>
      </w:r>
    </w:p>
    <w:p w14:paraId="46A9FFC5" w14:textId="46F7342D" w:rsidR="0005060C" w:rsidRPr="004E452B" w:rsidRDefault="006C7033" w:rsidP="00495B8B">
      <w:pPr>
        <w:rPr>
          <w:lang w:val="en-US"/>
        </w:rPr>
      </w:pPr>
      <w:r w:rsidRPr="004E452B">
        <w:rPr>
          <w:lang w:val="en-US"/>
        </w:rPr>
        <w:t xml:space="preserve">The </w:t>
      </w:r>
      <w:r w:rsidR="00AC05AE">
        <w:rPr>
          <w:lang w:val="en-US"/>
        </w:rPr>
        <w:t xml:space="preserve">changes mentioned under point number 1 and 2 </w:t>
      </w:r>
      <w:r w:rsidR="0014345E">
        <w:rPr>
          <w:lang w:val="en-US"/>
        </w:rPr>
        <w:t>are</w:t>
      </w:r>
      <w:r w:rsidRPr="004E452B">
        <w:rPr>
          <w:lang w:val="en-US"/>
        </w:rPr>
        <w:t xml:space="preserve"> currently planned to become effective on</w:t>
      </w:r>
      <w:r w:rsidR="00AC05AE">
        <w:rPr>
          <w:lang w:val="en-US"/>
        </w:rPr>
        <w:t xml:space="preserve"> 17</w:t>
      </w:r>
      <w:r w:rsidR="00AC05AE" w:rsidRPr="00AC05AE">
        <w:rPr>
          <w:vertAlign w:val="superscript"/>
          <w:lang w:val="en-US"/>
        </w:rPr>
        <w:t>th</w:t>
      </w:r>
      <w:r w:rsidR="00AC05AE">
        <w:rPr>
          <w:lang w:val="en-US"/>
        </w:rPr>
        <w:t xml:space="preserve"> </w:t>
      </w:r>
      <w:r w:rsidR="008678CF">
        <w:rPr>
          <w:lang w:val="en-US"/>
        </w:rPr>
        <w:t>June</w:t>
      </w:r>
      <w:r w:rsidRPr="004E452B">
        <w:rPr>
          <w:lang w:val="en-US"/>
        </w:rPr>
        <w:t xml:space="preserve"> 2019</w:t>
      </w:r>
      <w:r w:rsidR="00F1154D">
        <w:rPr>
          <w:lang w:val="en-US"/>
        </w:rPr>
        <w:t xml:space="preserve">, whereas the </w:t>
      </w:r>
      <w:r w:rsidR="0014345E">
        <w:rPr>
          <w:lang w:val="en-US"/>
        </w:rPr>
        <w:t xml:space="preserve">amendment described </w:t>
      </w:r>
      <w:r w:rsidR="00F1154D">
        <w:rPr>
          <w:lang w:val="en-US"/>
        </w:rPr>
        <w:t>under p</w:t>
      </w:r>
      <w:r w:rsidR="00AC05AE">
        <w:rPr>
          <w:lang w:val="en-US"/>
        </w:rPr>
        <w:t>oint number 3</w:t>
      </w:r>
      <w:r w:rsidR="00F1154D">
        <w:rPr>
          <w:lang w:val="en-US"/>
        </w:rPr>
        <w:t xml:space="preserve"> shall become effective on </w:t>
      </w:r>
      <w:r w:rsidR="0014345E">
        <w:rPr>
          <w:lang w:val="en-US"/>
        </w:rPr>
        <w:t>1</w:t>
      </w:r>
      <w:r w:rsidR="00F1154D" w:rsidRPr="00F1154D">
        <w:rPr>
          <w:vertAlign w:val="superscript"/>
          <w:lang w:val="en-US"/>
        </w:rPr>
        <w:t>st</w:t>
      </w:r>
      <w:r w:rsidR="00F1154D">
        <w:rPr>
          <w:lang w:val="en-US"/>
        </w:rPr>
        <w:t xml:space="preserve"> July</w:t>
      </w:r>
      <w:r w:rsidR="008678CF">
        <w:rPr>
          <w:lang w:val="en-US"/>
        </w:rPr>
        <w:t xml:space="preserve"> 2019.</w:t>
      </w:r>
    </w:p>
    <w:p w14:paraId="5EE2133F" w14:textId="77777777" w:rsidR="0014345E" w:rsidRDefault="0014345E" w:rsidP="002663E0">
      <w:pPr>
        <w:spacing w:before="0" w:after="160" w:line="259" w:lineRule="auto"/>
        <w:jc w:val="left"/>
        <w:rPr>
          <w:sz w:val="28"/>
          <w:szCs w:val="28"/>
          <w:u w:val="single"/>
          <w:lang w:val="en-US"/>
        </w:rPr>
      </w:pPr>
    </w:p>
    <w:p w14:paraId="5838220C" w14:textId="77777777" w:rsidR="0014345E" w:rsidRDefault="0014345E" w:rsidP="002663E0">
      <w:pPr>
        <w:spacing w:before="0" w:after="160" w:line="259" w:lineRule="auto"/>
        <w:jc w:val="left"/>
        <w:rPr>
          <w:sz w:val="28"/>
          <w:szCs w:val="28"/>
          <w:u w:val="single"/>
          <w:lang w:val="en-US"/>
        </w:rPr>
      </w:pPr>
    </w:p>
    <w:p w14:paraId="45154AF2" w14:textId="22094210"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70A8984"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 to the </w:t>
      </w:r>
      <w:r w:rsidR="00B04ABF" w:rsidRPr="00C04273">
        <w:rPr>
          <w:lang w:val="en-US"/>
        </w:rPr>
        <w:t xml:space="preserve">Methodology </w:t>
      </w:r>
      <w:r w:rsidR="006C7033">
        <w:rPr>
          <w:lang w:val="en-US"/>
        </w:rPr>
        <w:t>of</w:t>
      </w:r>
      <w:r w:rsidR="00B04ABF" w:rsidRPr="00C04273">
        <w:rPr>
          <w:lang w:val="en-US"/>
        </w:rPr>
        <w:t xml:space="preserve"> </w:t>
      </w:r>
      <w:r w:rsidR="00591607" w:rsidRPr="00C04273">
        <w:rPr>
          <w:lang w:val="en-US"/>
        </w:rPr>
        <w:t xml:space="preserve">the </w:t>
      </w:r>
      <w:r w:rsidR="000E1074" w:rsidRPr="008F6BEA">
        <w:rPr>
          <w:lang w:val="en-US"/>
        </w:rPr>
        <w:t>Solactive Climate and Energy Transition Index</w:t>
      </w:r>
      <w:r w:rsidR="000E1074"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95B8B" w14:paraId="008B2314" w14:textId="77777777" w:rsidTr="001728F7">
        <w:trPr>
          <w:trHeight w:val="4596"/>
        </w:trPr>
        <w:tc>
          <w:tcPr>
            <w:tcW w:w="10171"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2E443366"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w:t>
      </w:r>
      <w:r w:rsidR="00FA75AF">
        <w:rPr>
          <w:lang w:val="en-US"/>
        </w:rPr>
        <w:t xml:space="preserve">l </w:t>
      </w:r>
      <w:bookmarkStart w:id="1" w:name="_GoBack"/>
      <w:r w:rsidR="00C56281" w:rsidRPr="00DF37CB">
        <w:rPr>
          <w:b/>
          <w:bCs/>
          <w:lang w:val="en-US"/>
        </w:rPr>
        <w:t>12</w:t>
      </w:r>
      <w:r w:rsidR="00C56281" w:rsidRPr="00DF37CB">
        <w:rPr>
          <w:b/>
          <w:bCs/>
          <w:vertAlign w:val="superscript"/>
          <w:lang w:val="en-US"/>
        </w:rPr>
        <w:t>th</w:t>
      </w:r>
      <w:r w:rsidR="00C56281" w:rsidRPr="00DF37CB">
        <w:rPr>
          <w:b/>
          <w:bCs/>
          <w:lang w:val="en-US"/>
        </w:rPr>
        <w:t xml:space="preserve"> June </w:t>
      </w:r>
      <w:r w:rsidR="00FA75AF" w:rsidRPr="00DF37CB">
        <w:rPr>
          <w:b/>
          <w:bCs/>
          <w:lang w:val="en-US"/>
        </w:rPr>
        <w:t>2019</w:t>
      </w:r>
      <w:r w:rsidR="00C56281" w:rsidRPr="00DF37CB">
        <w:rPr>
          <w:b/>
          <w:bCs/>
          <w:lang w:val="en-US"/>
        </w:rPr>
        <w:t xml:space="preserve"> (cob)</w:t>
      </w:r>
      <w:r w:rsidR="00FA75AF" w:rsidRPr="00DF37CB">
        <w:rPr>
          <w:b/>
          <w:bCs/>
          <w:lang w:val="en-US"/>
        </w:rPr>
        <w:t>.</w:t>
      </w:r>
      <w:bookmarkEnd w:id="1"/>
    </w:p>
    <w:p w14:paraId="04131284" w14:textId="6507933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240AF5" w:rsidRPr="008F6BEA">
        <w:rPr>
          <w:lang w:val="en-US"/>
        </w:rPr>
        <w:t>Solactive Climate and Energy Transition Index</w:t>
      </w:r>
      <w:r w:rsidR="0005060C">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7B07FA4E" w14:textId="77777777" w:rsidR="005055F5" w:rsidRPr="00C04273" w:rsidRDefault="005055F5" w:rsidP="005055F5">
      <w:pPr>
        <w:spacing w:after="0"/>
        <w:ind w:left="1416" w:firstLine="708"/>
      </w:pPr>
      <w:proofErr w:type="spellStart"/>
      <w:r w:rsidRPr="00C04273">
        <w:t>Guiollettstr</w:t>
      </w:r>
      <w:proofErr w:type="spellEnd"/>
      <w:r w:rsidRPr="00C04273">
        <w:t>. 54</w:t>
      </w:r>
    </w:p>
    <w:p w14:paraId="7C1A81A3" w14:textId="77777777" w:rsidR="005055F5" w:rsidRPr="00C04273" w:rsidRDefault="005055F5" w:rsidP="005055F5">
      <w:pPr>
        <w:spacing w:after="0"/>
        <w:ind w:left="1416" w:firstLine="708"/>
      </w:pPr>
      <w:r w:rsidRPr="00C04273">
        <w:t>60325 Frankfurt</w:t>
      </w:r>
    </w:p>
    <w:p w14:paraId="1FEC3B6F" w14:textId="77777777" w:rsidR="005055F5" w:rsidRPr="00C04273" w:rsidRDefault="005055F5" w:rsidP="005055F5">
      <w:pPr>
        <w:spacing w:after="0"/>
        <w:ind w:left="1416" w:firstLine="708"/>
      </w:pPr>
      <w:r w:rsidRPr="00C04273">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495B8B"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1728F7">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1728F7">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4BD3F" w14:textId="77777777" w:rsidR="00110CA0" w:rsidRDefault="00110CA0" w:rsidP="002E70FC">
      <w:pPr>
        <w:spacing w:before="0" w:after="0"/>
      </w:pPr>
      <w:r>
        <w:separator/>
      </w:r>
    </w:p>
  </w:endnote>
  <w:endnote w:type="continuationSeparator" w:id="0">
    <w:p w14:paraId="736D06B9" w14:textId="77777777" w:rsidR="00110CA0" w:rsidRDefault="00110CA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embedRegular r:id="rId1" w:fontKey="{14AD8B60-3335-4661-88F6-66119B8787A1}"/>
  </w:font>
  <w:font w:name="Flama Semicondensed Light">
    <w:panose1 w:val="02000000000000000000"/>
    <w:charset w:val="00"/>
    <w:family w:val="auto"/>
    <w:pitch w:val="variable"/>
    <w:sig w:usb0="A00000AF" w:usb1="4000207B" w:usb2="00000000" w:usb3="00000000" w:csb0="0000008B" w:csb1="00000000"/>
    <w:embedRegular r:id="rId2" w:fontKey="{D877C889-DD02-4DE7-8872-550A298CD142}"/>
    <w:embedBold r:id="rId3" w:fontKey="{AF108350-4D69-4E8D-9FF0-D21159DE1B12}"/>
    <w:embedItalic r:id="rId4" w:fontKey="{C06ED1D9-7222-42BF-927C-98E28A2289E3}"/>
  </w:font>
  <w:font w:name="Segoe UI">
    <w:panose1 w:val="020B0502040204020203"/>
    <w:charset w:val="00"/>
    <w:family w:val="swiss"/>
    <w:pitch w:val="variable"/>
    <w:sig w:usb0="E4002EFF" w:usb1="C000E47F" w:usb2="00000009" w:usb3="00000000" w:csb0="000001FF" w:csb1="00000000"/>
    <w:embedRegular r:id="rId5" w:fontKey="{52101B44-D729-4FC9-BF9F-808C09FD1095}"/>
  </w:font>
  <w:font w:name="Flama Semicondensed Medium">
    <w:panose1 w:val="02000000000000000000"/>
    <w:charset w:val="00"/>
    <w:family w:val="auto"/>
    <w:pitch w:val="variable"/>
    <w:sig w:usb0="A00000AF" w:usb1="4000207B" w:usb2="00000000" w:usb3="00000000" w:csb0="0000008B" w:csb1="00000000"/>
    <w:embedRegular r:id="rId6" w:fontKey="{973B4559-C4B5-4232-966B-1ECAC38D0B51}"/>
    <w:embedBold r:id="rId7" w:fontKey="{227944E2-AB52-4F56-B669-9558F3D156E5}"/>
  </w:font>
  <w:font w:name="Calibri Light">
    <w:panose1 w:val="020F0302020204030204"/>
    <w:charset w:val="00"/>
    <w:family w:val="swiss"/>
    <w:pitch w:val="variable"/>
    <w:sig w:usb0="A0002AEF" w:usb1="4000207B" w:usb2="00000000" w:usb3="00000000" w:csb0="000001FF" w:csb1="00000000"/>
    <w:embedRegular r:id="rId8" w:fontKey="{22D77696-5FB9-46BB-8BAC-67C532AC81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76A8F" w14:textId="77777777" w:rsidR="00110CA0" w:rsidRDefault="00110CA0" w:rsidP="002E70FC">
      <w:pPr>
        <w:spacing w:before="0" w:after="0"/>
      </w:pPr>
      <w:r>
        <w:separator/>
      </w:r>
    </w:p>
  </w:footnote>
  <w:footnote w:type="continuationSeparator" w:id="0">
    <w:p w14:paraId="5E2618D6" w14:textId="77777777" w:rsidR="00110CA0" w:rsidRDefault="00110CA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558C71FF"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44E9B">
          <w:rPr>
            <w:lang w:val="en-US"/>
          </w:rPr>
          <w:t>Market Consultation Solactive Climate and Energy Transition Index</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4" type="#_x0000_t75" style="width:25.9pt;height:19.9pt" o:bullet="t">
        <v:imagedata r:id="rId1" o:title="S_Icons-Haken_02"/>
      </v:shape>
    </w:pict>
  </w:numPicBullet>
  <w:numPicBullet w:numPicBulletId="1">
    <w:pict>
      <v:shape id="_x0000_i1955" type="#_x0000_t75" style="width:19.9pt;height:19.9pt" o:bullet="t">
        <v:imagedata r:id="rId2" o:title="S_Icons-Pfeil_02"/>
      </v:shape>
    </w:pict>
  </w:numPicBullet>
  <w:numPicBullet w:numPicBulletId="2">
    <w:pict>
      <v:shape id="_x0000_i1956" type="#_x0000_t75" style="width:15.35pt;height:15.85pt" o:bullet="t">
        <v:imagedata r:id="rId3" o:title="Bullet_2_Indices_Small"/>
      </v:shape>
    </w:pict>
  </w:numPicBullet>
  <w:numPicBullet w:numPicBulletId="3">
    <w:pict>
      <v:shape id="_x0000_i195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E841743"/>
    <w:multiLevelType w:val="hybridMultilevel"/>
    <w:tmpl w:val="7BDC42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BCA5BDB"/>
    <w:multiLevelType w:val="hybridMultilevel"/>
    <w:tmpl w:val="5DEC85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029E6"/>
    <w:multiLevelType w:val="hybridMultilevel"/>
    <w:tmpl w:val="31E0BF90"/>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B57BBF"/>
    <w:multiLevelType w:val="hybridMultilevel"/>
    <w:tmpl w:val="06BCCF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502278"/>
    <w:multiLevelType w:val="hybridMultilevel"/>
    <w:tmpl w:val="607CD216"/>
    <w:lvl w:ilvl="0" w:tplc="1292BA72">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32164A3"/>
    <w:multiLevelType w:val="hybridMultilevel"/>
    <w:tmpl w:val="62A4C5EA"/>
    <w:lvl w:ilvl="0" w:tplc="EA2644F2">
      <w:numFmt w:val="bullet"/>
      <w:lvlText w:val="-"/>
      <w:lvlJc w:val="left"/>
      <w:pPr>
        <w:ind w:left="720" w:hanging="360"/>
      </w:pPr>
      <w:rPr>
        <w:rFonts w:ascii="Flama Semicondensed Light" w:eastAsia="Times New Roman" w:hAnsi="Flama Semicondensed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1"/>
  </w:num>
  <w:num w:numId="4">
    <w:abstractNumId w:val="25"/>
  </w:num>
  <w:num w:numId="5">
    <w:abstractNumId w:val="20"/>
  </w:num>
  <w:num w:numId="6">
    <w:abstractNumId w:val="11"/>
  </w:num>
  <w:num w:numId="7">
    <w:abstractNumId w:val="24"/>
  </w:num>
  <w:num w:numId="8">
    <w:abstractNumId w:val="3"/>
  </w:num>
  <w:num w:numId="9">
    <w:abstractNumId w:val="16"/>
  </w:num>
  <w:num w:numId="10">
    <w:abstractNumId w:val="15"/>
  </w:num>
  <w:num w:numId="11">
    <w:abstractNumId w:val="2"/>
  </w:num>
  <w:num w:numId="12">
    <w:abstractNumId w:val="1"/>
  </w:num>
  <w:num w:numId="13">
    <w:abstractNumId w:val="18"/>
  </w:num>
  <w:num w:numId="14">
    <w:abstractNumId w:val="13"/>
  </w:num>
  <w:num w:numId="15">
    <w:abstractNumId w:val="5"/>
  </w:num>
  <w:num w:numId="16">
    <w:abstractNumId w:val="14"/>
  </w:num>
  <w:num w:numId="17">
    <w:abstractNumId w:val="26"/>
  </w:num>
  <w:num w:numId="18">
    <w:abstractNumId w:val="12"/>
  </w:num>
  <w:num w:numId="19">
    <w:abstractNumId w:val="22"/>
  </w:num>
  <w:num w:numId="20">
    <w:abstractNumId w:val="23"/>
  </w:num>
  <w:num w:numId="21">
    <w:abstractNumId w:val="0"/>
  </w:num>
  <w:num w:numId="22">
    <w:abstractNumId w:val="17"/>
  </w:num>
  <w:num w:numId="23">
    <w:abstractNumId w:val="19"/>
  </w:num>
  <w:num w:numId="24">
    <w:abstractNumId w:val="4"/>
  </w:num>
  <w:num w:numId="25">
    <w:abstractNumId w:val="7"/>
  </w:num>
  <w:num w:numId="26">
    <w:abstractNumId w:val="1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3762"/>
    <w:rsid w:val="00035B49"/>
    <w:rsid w:val="0003699C"/>
    <w:rsid w:val="00045723"/>
    <w:rsid w:val="0005060C"/>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5F8E"/>
    <w:rsid w:val="000D0FF1"/>
    <w:rsid w:val="000E1074"/>
    <w:rsid w:val="000E3D03"/>
    <w:rsid w:val="000F3DF3"/>
    <w:rsid w:val="00110CA0"/>
    <w:rsid w:val="00113086"/>
    <w:rsid w:val="00123CB9"/>
    <w:rsid w:val="00124B71"/>
    <w:rsid w:val="00130274"/>
    <w:rsid w:val="001305E1"/>
    <w:rsid w:val="00133435"/>
    <w:rsid w:val="00135E34"/>
    <w:rsid w:val="0014345E"/>
    <w:rsid w:val="00160389"/>
    <w:rsid w:val="00185395"/>
    <w:rsid w:val="001913FD"/>
    <w:rsid w:val="00192032"/>
    <w:rsid w:val="0019287D"/>
    <w:rsid w:val="00196409"/>
    <w:rsid w:val="00196791"/>
    <w:rsid w:val="001A2056"/>
    <w:rsid w:val="001A3AA6"/>
    <w:rsid w:val="001C7018"/>
    <w:rsid w:val="001D0ECC"/>
    <w:rsid w:val="001D451F"/>
    <w:rsid w:val="001D6895"/>
    <w:rsid w:val="001E7A70"/>
    <w:rsid w:val="001F1AAE"/>
    <w:rsid w:val="001F7F10"/>
    <w:rsid w:val="002127D7"/>
    <w:rsid w:val="00216B32"/>
    <w:rsid w:val="00226816"/>
    <w:rsid w:val="002370C6"/>
    <w:rsid w:val="00240AF5"/>
    <w:rsid w:val="00252BDE"/>
    <w:rsid w:val="00252DAF"/>
    <w:rsid w:val="0026500B"/>
    <w:rsid w:val="00265575"/>
    <w:rsid w:val="00265B34"/>
    <w:rsid w:val="002663E0"/>
    <w:rsid w:val="00277D7B"/>
    <w:rsid w:val="0028575D"/>
    <w:rsid w:val="00291586"/>
    <w:rsid w:val="0029232A"/>
    <w:rsid w:val="002A32BB"/>
    <w:rsid w:val="002C0C0A"/>
    <w:rsid w:val="002C3DF7"/>
    <w:rsid w:val="002C65A0"/>
    <w:rsid w:val="002E70FC"/>
    <w:rsid w:val="003012BC"/>
    <w:rsid w:val="00316A3E"/>
    <w:rsid w:val="00334438"/>
    <w:rsid w:val="003405E8"/>
    <w:rsid w:val="00344407"/>
    <w:rsid w:val="0034475A"/>
    <w:rsid w:val="003461D2"/>
    <w:rsid w:val="0035397E"/>
    <w:rsid w:val="00366769"/>
    <w:rsid w:val="0037436A"/>
    <w:rsid w:val="00381C00"/>
    <w:rsid w:val="00383C13"/>
    <w:rsid w:val="003841D2"/>
    <w:rsid w:val="00393783"/>
    <w:rsid w:val="00395582"/>
    <w:rsid w:val="003A0198"/>
    <w:rsid w:val="003B50BB"/>
    <w:rsid w:val="003C16C2"/>
    <w:rsid w:val="003C5B49"/>
    <w:rsid w:val="003D0F21"/>
    <w:rsid w:val="003E3204"/>
    <w:rsid w:val="0040784E"/>
    <w:rsid w:val="00420C1C"/>
    <w:rsid w:val="0043684B"/>
    <w:rsid w:val="00447C88"/>
    <w:rsid w:val="00447DC5"/>
    <w:rsid w:val="004538B8"/>
    <w:rsid w:val="00456B65"/>
    <w:rsid w:val="00461F41"/>
    <w:rsid w:val="00471895"/>
    <w:rsid w:val="00475079"/>
    <w:rsid w:val="00490CA4"/>
    <w:rsid w:val="00495B8B"/>
    <w:rsid w:val="004B4769"/>
    <w:rsid w:val="004B6674"/>
    <w:rsid w:val="004B6903"/>
    <w:rsid w:val="004C2B70"/>
    <w:rsid w:val="004C688A"/>
    <w:rsid w:val="004D16D5"/>
    <w:rsid w:val="004E28AA"/>
    <w:rsid w:val="004E452B"/>
    <w:rsid w:val="00500D79"/>
    <w:rsid w:val="005055F5"/>
    <w:rsid w:val="00507DB2"/>
    <w:rsid w:val="00513517"/>
    <w:rsid w:val="00532F22"/>
    <w:rsid w:val="00534514"/>
    <w:rsid w:val="00544E9B"/>
    <w:rsid w:val="005457DD"/>
    <w:rsid w:val="0055233E"/>
    <w:rsid w:val="00572562"/>
    <w:rsid w:val="0057525D"/>
    <w:rsid w:val="005818C8"/>
    <w:rsid w:val="00585A1D"/>
    <w:rsid w:val="00591607"/>
    <w:rsid w:val="00592EE3"/>
    <w:rsid w:val="005A0058"/>
    <w:rsid w:val="005A2BE7"/>
    <w:rsid w:val="005A6736"/>
    <w:rsid w:val="005B5236"/>
    <w:rsid w:val="005C08AA"/>
    <w:rsid w:val="005C210C"/>
    <w:rsid w:val="005C5410"/>
    <w:rsid w:val="005D5CB2"/>
    <w:rsid w:val="005E2B50"/>
    <w:rsid w:val="005E61B4"/>
    <w:rsid w:val="006073BB"/>
    <w:rsid w:val="00621EE1"/>
    <w:rsid w:val="00626C9C"/>
    <w:rsid w:val="0063017D"/>
    <w:rsid w:val="00631951"/>
    <w:rsid w:val="00632135"/>
    <w:rsid w:val="0063592D"/>
    <w:rsid w:val="00650433"/>
    <w:rsid w:val="00656E53"/>
    <w:rsid w:val="0065775A"/>
    <w:rsid w:val="0068418C"/>
    <w:rsid w:val="00687F0D"/>
    <w:rsid w:val="0069329B"/>
    <w:rsid w:val="00694010"/>
    <w:rsid w:val="006954CA"/>
    <w:rsid w:val="006A0793"/>
    <w:rsid w:val="006A33A7"/>
    <w:rsid w:val="006C2A33"/>
    <w:rsid w:val="006C5EE2"/>
    <w:rsid w:val="006C7033"/>
    <w:rsid w:val="006D163F"/>
    <w:rsid w:val="006E0DEB"/>
    <w:rsid w:val="006F11E8"/>
    <w:rsid w:val="006F1D5D"/>
    <w:rsid w:val="006F54CB"/>
    <w:rsid w:val="00702715"/>
    <w:rsid w:val="0072157C"/>
    <w:rsid w:val="0072272D"/>
    <w:rsid w:val="00725848"/>
    <w:rsid w:val="007357DE"/>
    <w:rsid w:val="00736C70"/>
    <w:rsid w:val="007372FA"/>
    <w:rsid w:val="00746268"/>
    <w:rsid w:val="00750A5D"/>
    <w:rsid w:val="00753112"/>
    <w:rsid w:val="00770E36"/>
    <w:rsid w:val="007822BB"/>
    <w:rsid w:val="0078490A"/>
    <w:rsid w:val="007913A0"/>
    <w:rsid w:val="007C263C"/>
    <w:rsid w:val="007C26BC"/>
    <w:rsid w:val="007D1364"/>
    <w:rsid w:val="007D2A93"/>
    <w:rsid w:val="007D457D"/>
    <w:rsid w:val="007D4AB3"/>
    <w:rsid w:val="007E035C"/>
    <w:rsid w:val="007E0ACA"/>
    <w:rsid w:val="00803EE8"/>
    <w:rsid w:val="00810B5C"/>
    <w:rsid w:val="00823F62"/>
    <w:rsid w:val="00826945"/>
    <w:rsid w:val="008345B7"/>
    <w:rsid w:val="00851638"/>
    <w:rsid w:val="00852511"/>
    <w:rsid w:val="008678CF"/>
    <w:rsid w:val="00875EDB"/>
    <w:rsid w:val="00880689"/>
    <w:rsid w:val="0089032B"/>
    <w:rsid w:val="00895A4B"/>
    <w:rsid w:val="008A06B6"/>
    <w:rsid w:val="008A6AA1"/>
    <w:rsid w:val="008B3505"/>
    <w:rsid w:val="008C3106"/>
    <w:rsid w:val="008C5730"/>
    <w:rsid w:val="008D19A9"/>
    <w:rsid w:val="008D32E3"/>
    <w:rsid w:val="008D7A68"/>
    <w:rsid w:val="008E0EE0"/>
    <w:rsid w:val="008E4BEE"/>
    <w:rsid w:val="008F6BEA"/>
    <w:rsid w:val="009133CD"/>
    <w:rsid w:val="0092193A"/>
    <w:rsid w:val="009224D5"/>
    <w:rsid w:val="00927618"/>
    <w:rsid w:val="0093363F"/>
    <w:rsid w:val="009369D6"/>
    <w:rsid w:val="0094111F"/>
    <w:rsid w:val="00960D2A"/>
    <w:rsid w:val="00970C26"/>
    <w:rsid w:val="0097651D"/>
    <w:rsid w:val="00983D90"/>
    <w:rsid w:val="009A27F6"/>
    <w:rsid w:val="009A4F6D"/>
    <w:rsid w:val="009B45ED"/>
    <w:rsid w:val="009C5F0F"/>
    <w:rsid w:val="009C62E7"/>
    <w:rsid w:val="009C6F7C"/>
    <w:rsid w:val="009D2EF7"/>
    <w:rsid w:val="009F51A9"/>
    <w:rsid w:val="00A2430F"/>
    <w:rsid w:val="00A255BA"/>
    <w:rsid w:val="00A3779F"/>
    <w:rsid w:val="00A41317"/>
    <w:rsid w:val="00A413D8"/>
    <w:rsid w:val="00A65C78"/>
    <w:rsid w:val="00A65FE6"/>
    <w:rsid w:val="00A74BB3"/>
    <w:rsid w:val="00A94468"/>
    <w:rsid w:val="00AB24A4"/>
    <w:rsid w:val="00AC05AE"/>
    <w:rsid w:val="00AC0BF4"/>
    <w:rsid w:val="00AD1AED"/>
    <w:rsid w:val="00AE2FDA"/>
    <w:rsid w:val="00AF46AF"/>
    <w:rsid w:val="00B00AC9"/>
    <w:rsid w:val="00B0295D"/>
    <w:rsid w:val="00B04ABF"/>
    <w:rsid w:val="00B1629F"/>
    <w:rsid w:val="00B210BC"/>
    <w:rsid w:val="00B26AC5"/>
    <w:rsid w:val="00B302B4"/>
    <w:rsid w:val="00B42370"/>
    <w:rsid w:val="00B4681A"/>
    <w:rsid w:val="00B61371"/>
    <w:rsid w:val="00B65F55"/>
    <w:rsid w:val="00B915B6"/>
    <w:rsid w:val="00B9673A"/>
    <w:rsid w:val="00BA23D9"/>
    <w:rsid w:val="00BA3FA5"/>
    <w:rsid w:val="00BB1CFA"/>
    <w:rsid w:val="00BB27EE"/>
    <w:rsid w:val="00BB7BCB"/>
    <w:rsid w:val="00BD4042"/>
    <w:rsid w:val="00C0189C"/>
    <w:rsid w:val="00C03D31"/>
    <w:rsid w:val="00C04273"/>
    <w:rsid w:val="00C22CA0"/>
    <w:rsid w:val="00C24716"/>
    <w:rsid w:val="00C30238"/>
    <w:rsid w:val="00C4722A"/>
    <w:rsid w:val="00C55884"/>
    <w:rsid w:val="00C56281"/>
    <w:rsid w:val="00C62136"/>
    <w:rsid w:val="00C65639"/>
    <w:rsid w:val="00C676D8"/>
    <w:rsid w:val="00C750BC"/>
    <w:rsid w:val="00C77505"/>
    <w:rsid w:val="00CA595E"/>
    <w:rsid w:val="00CB413D"/>
    <w:rsid w:val="00CB6BA0"/>
    <w:rsid w:val="00CC4A71"/>
    <w:rsid w:val="00CD41EB"/>
    <w:rsid w:val="00CD7B75"/>
    <w:rsid w:val="00CF29CC"/>
    <w:rsid w:val="00D06800"/>
    <w:rsid w:val="00D06D8B"/>
    <w:rsid w:val="00D30535"/>
    <w:rsid w:val="00D55031"/>
    <w:rsid w:val="00D620C6"/>
    <w:rsid w:val="00D72633"/>
    <w:rsid w:val="00D76406"/>
    <w:rsid w:val="00D90EC5"/>
    <w:rsid w:val="00D916A7"/>
    <w:rsid w:val="00D9404B"/>
    <w:rsid w:val="00D9688B"/>
    <w:rsid w:val="00DA2F85"/>
    <w:rsid w:val="00DA3CF4"/>
    <w:rsid w:val="00DB29BB"/>
    <w:rsid w:val="00DB7CE4"/>
    <w:rsid w:val="00DC4F24"/>
    <w:rsid w:val="00DD3C44"/>
    <w:rsid w:val="00DE21FE"/>
    <w:rsid w:val="00DE29BE"/>
    <w:rsid w:val="00DE7F6A"/>
    <w:rsid w:val="00DF306F"/>
    <w:rsid w:val="00DF37CB"/>
    <w:rsid w:val="00E06A59"/>
    <w:rsid w:val="00E072E6"/>
    <w:rsid w:val="00E22C03"/>
    <w:rsid w:val="00E35FA1"/>
    <w:rsid w:val="00E43678"/>
    <w:rsid w:val="00E530BC"/>
    <w:rsid w:val="00E55AA7"/>
    <w:rsid w:val="00E738F4"/>
    <w:rsid w:val="00E75C53"/>
    <w:rsid w:val="00E85D18"/>
    <w:rsid w:val="00E9274E"/>
    <w:rsid w:val="00EA23FA"/>
    <w:rsid w:val="00EA4B8A"/>
    <w:rsid w:val="00EC2BCA"/>
    <w:rsid w:val="00ED0760"/>
    <w:rsid w:val="00EE22E3"/>
    <w:rsid w:val="00F0488B"/>
    <w:rsid w:val="00F1145C"/>
    <w:rsid w:val="00F1154D"/>
    <w:rsid w:val="00F25F45"/>
    <w:rsid w:val="00F51148"/>
    <w:rsid w:val="00F67BDD"/>
    <w:rsid w:val="00F75FFF"/>
    <w:rsid w:val="00F77D37"/>
    <w:rsid w:val="00F8097C"/>
    <w:rsid w:val="00F863D9"/>
    <w:rsid w:val="00F948C6"/>
    <w:rsid w:val="00F964E4"/>
    <w:rsid w:val="00F97AFE"/>
    <w:rsid w:val="00FA75AF"/>
    <w:rsid w:val="00FB1C0D"/>
    <w:rsid w:val="00FB75BF"/>
    <w:rsid w:val="00FC4A10"/>
    <w:rsid w:val="00FD34D2"/>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NormalWeb">
    <w:name w:val="Normal (Web)"/>
    <w:basedOn w:val="Normal"/>
    <w:uiPriority w:val="99"/>
    <w:semiHidden/>
    <w:unhideWhenUsed/>
    <w:rsid w:val="001305E1"/>
    <w:pPr>
      <w:spacing w:before="100" w:beforeAutospacing="1" w:after="100" w:afterAutospacing="1"/>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067">
      <w:bodyDiv w:val="1"/>
      <w:marLeft w:val="0"/>
      <w:marRight w:val="0"/>
      <w:marTop w:val="0"/>
      <w:marBottom w:val="0"/>
      <w:divBdr>
        <w:top w:val="none" w:sz="0" w:space="0" w:color="auto"/>
        <w:left w:val="none" w:sz="0" w:space="0" w:color="auto"/>
        <w:bottom w:val="none" w:sz="0" w:space="0" w:color="auto"/>
        <w:right w:val="none" w:sz="0" w:space="0" w:color="auto"/>
      </w:divBdr>
    </w:div>
    <w:div w:id="424694283">
      <w:bodyDiv w:val="1"/>
      <w:marLeft w:val="0"/>
      <w:marRight w:val="0"/>
      <w:marTop w:val="0"/>
      <w:marBottom w:val="0"/>
      <w:divBdr>
        <w:top w:val="none" w:sz="0" w:space="0" w:color="auto"/>
        <w:left w:val="none" w:sz="0" w:space="0" w:color="auto"/>
        <w:bottom w:val="none" w:sz="0" w:space="0" w:color="auto"/>
        <w:right w:val="none" w:sz="0" w:space="0" w:color="auto"/>
      </w:divBdr>
    </w:div>
    <w:div w:id="797335905">
      <w:bodyDiv w:val="1"/>
      <w:marLeft w:val="0"/>
      <w:marRight w:val="0"/>
      <w:marTop w:val="0"/>
      <w:marBottom w:val="0"/>
      <w:divBdr>
        <w:top w:val="none" w:sz="0" w:space="0" w:color="auto"/>
        <w:left w:val="none" w:sz="0" w:space="0" w:color="auto"/>
        <w:bottom w:val="none" w:sz="0" w:space="0" w:color="auto"/>
        <w:right w:val="none" w:sz="0" w:space="0" w:color="auto"/>
      </w:divBdr>
    </w:div>
    <w:div w:id="1300693544">
      <w:bodyDiv w:val="1"/>
      <w:marLeft w:val="0"/>
      <w:marRight w:val="0"/>
      <w:marTop w:val="0"/>
      <w:marBottom w:val="0"/>
      <w:divBdr>
        <w:top w:val="none" w:sz="0" w:space="0" w:color="auto"/>
        <w:left w:val="none" w:sz="0" w:space="0" w:color="auto"/>
        <w:bottom w:val="none" w:sz="0" w:space="0" w:color="auto"/>
        <w:right w:val="none" w:sz="0" w:space="0" w:color="auto"/>
      </w:divBdr>
    </w:div>
    <w:div w:id="1562403154">
      <w:bodyDiv w:val="1"/>
      <w:marLeft w:val="0"/>
      <w:marRight w:val="0"/>
      <w:marTop w:val="0"/>
      <w:marBottom w:val="0"/>
      <w:divBdr>
        <w:top w:val="none" w:sz="0" w:space="0" w:color="auto"/>
        <w:left w:val="none" w:sz="0" w:space="0" w:color="auto"/>
        <w:bottom w:val="none" w:sz="0" w:space="0" w:color="auto"/>
        <w:right w:val="none" w:sz="0" w:space="0" w:color="auto"/>
      </w:divBdr>
    </w:div>
    <w:div w:id="205476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9208BC-D1EA-412E-A597-404F5A24F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892</Words>
  <Characters>5085</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Climate and Energy Transition Index</vt:lpstr>
      <vt:lpstr>Market Consultation Solactive U.S. Dynamic Allocation Indices</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Climate and Energy Transition Index</dc:title>
  <dc:subject>Calculation Documents &amp; Methodologies</dc:subject>
  <dc:creator>Solactive AG</dc:creator>
  <cp:keywords/>
  <dc:description/>
  <cp:lastModifiedBy>Gerhards, Svend</cp:lastModifiedBy>
  <cp:revision>2</cp:revision>
  <cp:lastPrinted>2019-06-05T18:54:00Z</cp:lastPrinted>
  <dcterms:created xsi:type="dcterms:W3CDTF">2019-06-05T18:55:00Z</dcterms:created>
  <dcterms:modified xsi:type="dcterms:W3CDTF">2019-06-05T18:55:00Z</dcterms:modified>
  <cp:contentStatus>Version 1.1</cp:contentStatus>
</cp:coreProperties>
</file>