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DBAE85C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B412BC">
                <w:rPr>
                  <w:color w:val="FFFFFF" w:themeColor="background1"/>
                  <w:lang w:val="en-US"/>
                </w:rPr>
                <w:t>Solactive Global Lithium Index and Solactive Global Lithium (EUR) Index Adjustment of Index Composition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CCA8096" w:rsidR="00110CA0" w:rsidRPr="00D902A1" w:rsidRDefault="00D15533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5-0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412B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06 May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2CCA8096" w:rsidR="00110CA0" w:rsidRPr="00D902A1" w:rsidRDefault="00A72BF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5-0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412B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06 May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14ED2150" w14:textId="77777777" w:rsidR="00A72BF5" w:rsidRDefault="002663E0" w:rsidP="00113439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B412BC">
        <w:rPr>
          <w:lang w:val="en-GB"/>
        </w:rPr>
        <w:t>the composition of the Solactive Global Lithium Index</w:t>
      </w:r>
      <w:r w:rsidR="00A72BF5">
        <w:rPr>
          <w:lang w:val="en-GB"/>
        </w:rPr>
        <w:t xml:space="preserve"> (SOLLIT)</w:t>
      </w:r>
      <w:r w:rsidR="00B412BC">
        <w:rPr>
          <w:lang w:val="en-GB"/>
        </w:rPr>
        <w:t xml:space="preserve"> and the Solactive Global Lithium (EUR) Index</w:t>
      </w:r>
      <w:r w:rsidR="00A72BF5">
        <w:rPr>
          <w:lang w:val="en-GB"/>
        </w:rPr>
        <w:t xml:space="preserve"> (SOLLITE)</w:t>
      </w:r>
      <w:r w:rsidR="00B26743">
        <w:rPr>
          <w:lang w:val="en-GB"/>
        </w:rPr>
        <w:t xml:space="preserve"> (the ‘</w:t>
      </w:r>
      <w:r w:rsidR="00B26743" w:rsidRPr="00B26743">
        <w:rPr>
          <w:b/>
          <w:lang w:val="en-GB"/>
        </w:rPr>
        <w:t>Indices</w:t>
      </w:r>
      <w:r w:rsidR="00B26743">
        <w:rPr>
          <w:lang w:val="en-GB"/>
        </w:rPr>
        <w:t>’)</w:t>
      </w:r>
      <w:r w:rsidR="00B412BC">
        <w:rPr>
          <w:lang w:val="en-GB"/>
        </w:rPr>
        <w:t xml:space="preserve">. </w:t>
      </w:r>
    </w:p>
    <w:p w14:paraId="174C856B" w14:textId="04D5B0D2" w:rsidR="00B26743" w:rsidRDefault="00B26743" w:rsidP="00113439">
      <w:pPr>
        <w:spacing w:before="0" w:after="160" w:line="259" w:lineRule="auto"/>
        <w:rPr>
          <w:lang w:val="en-GB"/>
        </w:rPr>
      </w:pPr>
      <w:r w:rsidRPr="00B26743">
        <w:rPr>
          <w:lang w:val="en-GB"/>
        </w:rPr>
        <w:t xml:space="preserve">The aim of the </w:t>
      </w:r>
      <w:r>
        <w:rPr>
          <w:lang w:val="en-GB"/>
        </w:rPr>
        <w:t>I</w:t>
      </w:r>
      <w:r w:rsidRPr="00B26743">
        <w:rPr>
          <w:lang w:val="en-GB"/>
        </w:rPr>
        <w:t>ndices is to track the price movements of shares of companies active in lithium mining, exploration or closely related activities and/or the production of lithium batteries</w:t>
      </w:r>
      <w:r>
        <w:rPr>
          <w:lang w:val="en-GB"/>
        </w:rPr>
        <w:t>.</w:t>
      </w:r>
    </w:p>
    <w:p w14:paraId="3B7B9A2A" w14:textId="3991E5A6" w:rsidR="00113439" w:rsidRDefault="00B26743" w:rsidP="00113439">
      <w:pPr>
        <w:spacing w:before="0" w:after="160" w:line="259" w:lineRule="auto"/>
        <w:rPr>
          <w:lang w:val="en-GB"/>
        </w:rPr>
      </w:pPr>
      <w:r w:rsidRPr="00B26743">
        <w:rPr>
          <w:lang w:val="en-GB"/>
        </w:rPr>
        <w:t>In the context of a spin-off</w:t>
      </w:r>
      <w:r w:rsidR="00A72BF5">
        <w:rPr>
          <w:lang w:val="en-GB"/>
        </w:rPr>
        <w:t xml:space="preserve"> of FMC CORP</w:t>
      </w:r>
      <w:r w:rsidR="00113439">
        <w:rPr>
          <w:lang w:val="en-GB"/>
        </w:rPr>
        <w:t>, effective as of 3 April 2019,</w:t>
      </w:r>
      <w:r w:rsidRPr="00B26743">
        <w:rPr>
          <w:lang w:val="en-GB"/>
        </w:rPr>
        <w:t xml:space="preserve"> a new company (LIVENT CORP) was founded. </w:t>
      </w:r>
      <w:r>
        <w:rPr>
          <w:lang w:val="en-GB"/>
        </w:rPr>
        <w:t>The lithium business of FMC CORP was spun off into LIVENT COR</w:t>
      </w:r>
      <w:r w:rsidR="00113439">
        <w:rPr>
          <w:lang w:val="en-GB"/>
        </w:rPr>
        <w:t>P</w:t>
      </w:r>
      <w:r>
        <w:rPr>
          <w:lang w:val="en-GB"/>
        </w:rPr>
        <w:t xml:space="preserve">. </w:t>
      </w:r>
      <w:r w:rsidR="00113439">
        <w:rPr>
          <w:lang w:val="en-GB"/>
        </w:rPr>
        <w:t>Accordingly, FMC CORP has no direct exposure to the lithium business anymore</w:t>
      </w:r>
      <w:r w:rsidR="00113439" w:rsidRPr="00113439">
        <w:rPr>
          <w:lang w:val="en-GB"/>
        </w:rPr>
        <w:t>.</w:t>
      </w:r>
    </w:p>
    <w:p w14:paraId="63DF0634" w14:textId="17DD7AAF" w:rsidR="00113439" w:rsidRPr="00113439" w:rsidRDefault="00113439" w:rsidP="00113439">
      <w:pPr>
        <w:spacing w:before="0" w:after="160" w:line="259" w:lineRule="auto"/>
        <w:rPr>
          <w:lang w:val="en-GB"/>
        </w:rPr>
      </w:pPr>
      <w:r w:rsidRPr="00113439">
        <w:rPr>
          <w:lang w:val="en-GB"/>
        </w:rPr>
        <w:t xml:space="preserve">According to the </w:t>
      </w:r>
      <w:r>
        <w:rPr>
          <w:lang w:val="en-GB"/>
        </w:rPr>
        <w:t>methodology</w:t>
      </w:r>
      <w:r w:rsidRPr="00113439">
        <w:rPr>
          <w:lang w:val="en-GB"/>
        </w:rPr>
        <w:t xml:space="preserve"> applicable to</w:t>
      </w:r>
      <w:r>
        <w:rPr>
          <w:lang w:val="en-GB"/>
        </w:rPr>
        <w:t xml:space="preserve"> the I</w:t>
      </w:r>
      <w:r w:rsidRPr="00113439">
        <w:rPr>
          <w:lang w:val="en-GB"/>
        </w:rPr>
        <w:t xml:space="preserve">ndices, both </w:t>
      </w:r>
      <w:r>
        <w:rPr>
          <w:lang w:val="en-GB"/>
        </w:rPr>
        <w:t>FMC CO</w:t>
      </w:r>
      <w:r w:rsidR="00A72BF5">
        <w:rPr>
          <w:lang w:val="en-GB"/>
        </w:rPr>
        <w:t>RP</w:t>
      </w:r>
      <w:r w:rsidRPr="00113439">
        <w:rPr>
          <w:lang w:val="en-GB"/>
        </w:rPr>
        <w:t xml:space="preserve"> and </w:t>
      </w:r>
      <w:r>
        <w:rPr>
          <w:lang w:val="en-GB"/>
        </w:rPr>
        <w:t>LIVENT CORP</w:t>
      </w:r>
      <w:r w:rsidRPr="00113439">
        <w:rPr>
          <w:lang w:val="en-GB"/>
        </w:rPr>
        <w:t xml:space="preserve"> continue</w:t>
      </w:r>
      <w:r>
        <w:rPr>
          <w:lang w:val="en-GB"/>
        </w:rPr>
        <w:t>d</w:t>
      </w:r>
      <w:r w:rsidRPr="00113439">
        <w:rPr>
          <w:lang w:val="en-GB"/>
        </w:rPr>
        <w:t xml:space="preserve"> to be included in the </w:t>
      </w:r>
      <w:r>
        <w:rPr>
          <w:lang w:val="en-GB"/>
        </w:rPr>
        <w:t>Indices</w:t>
      </w:r>
      <w:r w:rsidRPr="00113439">
        <w:rPr>
          <w:lang w:val="en-GB"/>
        </w:rPr>
        <w:t xml:space="preserve"> as index </w:t>
      </w:r>
      <w:r w:rsidR="00A72BF5">
        <w:rPr>
          <w:lang w:val="en-GB"/>
        </w:rPr>
        <w:t xml:space="preserve">constituents </w:t>
      </w:r>
      <w:r w:rsidRPr="00113439">
        <w:rPr>
          <w:lang w:val="en-GB"/>
        </w:rPr>
        <w:t>(with a corresponding weighting distribution)</w:t>
      </w:r>
      <w:r>
        <w:rPr>
          <w:lang w:val="en-GB"/>
        </w:rPr>
        <w:t xml:space="preserve"> after the spin-off became effective</w:t>
      </w:r>
      <w:r w:rsidRPr="00113439">
        <w:rPr>
          <w:lang w:val="en-GB"/>
        </w:rPr>
        <w:t xml:space="preserve">. However, a review of the </w:t>
      </w:r>
      <w:r>
        <w:rPr>
          <w:lang w:val="en-GB"/>
        </w:rPr>
        <w:t>I</w:t>
      </w:r>
      <w:r w:rsidRPr="00113439">
        <w:rPr>
          <w:lang w:val="en-GB"/>
        </w:rPr>
        <w:t xml:space="preserve">ndices has shown that after the spin-off a large part of the weighting </w:t>
      </w:r>
      <w:r>
        <w:rPr>
          <w:lang w:val="en-GB"/>
        </w:rPr>
        <w:t>is allocated to</w:t>
      </w:r>
      <w:r w:rsidRPr="00113439">
        <w:rPr>
          <w:lang w:val="en-GB"/>
        </w:rPr>
        <w:t xml:space="preserve"> </w:t>
      </w:r>
      <w:r>
        <w:rPr>
          <w:lang w:val="en-GB"/>
        </w:rPr>
        <w:t>FMC CORP that</w:t>
      </w:r>
      <w:r w:rsidRPr="00113439">
        <w:rPr>
          <w:lang w:val="en-GB"/>
        </w:rPr>
        <w:t xml:space="preserve"> does not belong to the </w:t>
      </w:r>
      <w:r>
        <w:rPr>
          <w:lang w:val="en-GB"/>
        </w:rPr>
        <w:t xml:space="preserve">lithium intended to be reflected </w:t>
      </w:r>
      <w:r w:rsidRPr="00113439">
        <w:rPr>
          <w:lang w:val="en-GB"/>
        </w:rPr>
        <w:t xml:space="preserve">by the </w:t>
      </w:r>
      <w:r>
        <w:rPr>
          <w:lang w:val="en-GB"/>
        </w:rPr>
        <w:t>I</w:t>
      </w:r>
      <w:r w:rsidRPr="00113439">
        <w:rPr>
          <w:lang w:val="en-GB"/>
        </w:rPr>
        <w:t xml:space="preserve">ndices, thus jeopardising the objective pursued by the </w:t>
      </w:r>
      <w:r>
        <w:rPr>
          <w:lang w:val="en-GB"/>
        </w:rPr>
        <w:t>I</w:t>
      </w:r>
      <w:r w:rsidRPr="00113439">
        <w:rPr>
          <w:lang w:val="en-GB"/>
        </w:rPr>
        <w:t xml:space="preserve">ndices. </w:t>
      </w:r>
    </w:p>
    <w:p w14:paraId="7DFDEE86" w14:textId="293DBA15" w:rsidR="00113439" w:rsidRPr="00113439" w:rsidRDefault="00113439" w:rsidP="00A72BF5">
      <w:pPr>
        <w:spacing w:before="0" w:after="160" w:line="259" w:lineRule="auto"/>
        <w:rPr>
          <w:lang w:val="en-GB"/>
        </w:rPr>
      </w:pPr>
      <w:r>
        <w:rPr>
          <w:lang w:val="en-GB"/>
        </w:rPr>
        <w:t>Against this background i</w:t>
      </w:r>
      <w:r w:rsidRPr="00113439">
        <w:rPr>
          <w:lang w:val="en-GB"/>
        </w:rPr>
        <w:t>t is therefore proposed to remove the FMC COR</w:t>
      </w:r>
      <w:r>
        <w:rPr>
          <w:lang w:val="en-GB"/>
        </w:rPr>
        <w:t>P</w:t>
      </w:r>
      <w:r w:rsidRPr="00113439">
        <w:rPr>
          <w:lang w:val="en-GB"/>
        </w:rPr>
        <w:t xml:space="preserve"> from the </w:t>
      </w:r>
      <w:r>
        <w:rPr>
          <w:lang w:val="en-GB"/>
        </w:rPr>
        <w:t>Indices</w:t>
      </w:r>
      <w:r w:rsidRPr="00113439">
        <w:rPr>
          <w:lang w:val="en-GB"/>
        </w:rPr>
        <w:t xml:space="preserve"> and to distribute the released weighting proportionately among the existing index components. A reweighting of the current index components will not be carried out, i.e. the provisions in Section 1.5 of the respective </w:t>
      </w:r>
      <w:r w:rsidR="00A72BF5">
        <w:rPr>
          <w:lang w:val="en-GB"/>
        </w:rPr>
        <w:t>i</w:t>
      </w:r>
      <w:r w:rsidRPr="00113439">
        <w:rPr>
          <w:lang w:val="en-GB"/>
        </w:rPr>
        <w:t xml:space="preserve">ndex </w:t>
      </w:r>
      <w:r w:rsidR="00A72BF5">
        <w:rPr>
          <w:lang w:val="en-GB"/>
        </w:rPr>
        <w:t>g</w:t>
      </w:r>
      <w:r w:rsidRPr="00113439">
        <w:rPr>
          <w:lang w:val="en-GB"/>
        </w:rPr>
        <w:t>uide</w:t>
      </w:r>
      <w:r w:rsidR="00A72BF5">
        <w:rPr>
          <w:lang w:val="en-GB"/>
        </w:rPr>
        <w:t>line</w:t>
      </w:r>
      <w:r w:rsidRPr="00113439">
        <w:rPr>
          <w:lang w:val="en-GB"/>
        </w:rPr>
        <w:t xml:space="preserve"> will not apply.</w:t>
      </w:r>
    </w:p>
    <w:p w14:paraId="45154AF2" w14:textId="5E2E42FB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E5F8EB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lastRenderedPageBreak/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A72BF5">
        <w:rPr>
          <w:lang w:val="en-GB"/>
        </w:rPr>
        <w:t>Solactive Global Lithium Index and the Solactive Global Lithium (EUR)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412BC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1728F7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4180CA1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A72BF5">
        <w:rPr>
          <w:b/>
          <w:i/>
          <w:lang w:val="en-US"/>
        </w:rPr>
        <w:t xml:space="preserve">8 </w:t>
      </w:r>
      <w:r w:rsidR="00A72BF5" w:rsidRPr="00A72BF5">
        <w:rPr>
          <w:b/>
          <w:i/>
          <w:lang w:val="en-US"/>
        </w:rPr>
        <w:t>May 2019, noon (CEST)</w:t>
      </w:r>
      <w:r w:rsidRPr="00A72BF5">
        <w:rPr>
          <w:b/>
          <w:lang w:val="en-US"/>
        </w:rPr>
        <w:t>.</w:t>
      </w:r>
    </w:p>
    <w:p w14:paraId="04131284" w14:textId="054D6D4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A72BF5">
        <w:rPr>
          <w:lang w:val="en-GB"/>
        </w:rPr>
        <w:t>Solactive Global Lithium Index and the Solactive Global Lithium (EUR) Index</w:t>
      </w:r>
      <w:r w:rsidR="00A72BF5" w:rsidRPr="00C04273">
        <w:rPr>
          <w:lang w:val="en-US"/>
        </w:rPr>
        <w:t xml:space="preserve"> </w:t>
      </w:r>
      <w:r w:rsidR="00A72BF5">
        <w:rPr>
          <w:lang w:val="en-US"/>
        </w:rPr>
        <w:t>Adjustment of Index Composition”</w:t>
      </w:r>
      <w:r w:rsidR="00A72BF5" w:rsidRPr="00A72BF5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7B07FA4E" w14:textId="77777777" w:rsidR="005055F5" w:rsidRPr="00C04273" w:rsidRDefault="005055F5" w:rsidP="005055F5">
      <w:pPr>
        <w:spacing w:after="0"/>
        <w:ind w:left="1416" w:firstLine="708"/>
      </w:pPr>
      <w:r w:rsidRPr="00C04273">
        <w:t>Guiollettstr. 54</w:t>
      </w:r>
    </w:p>
    <w:p w14:paraId="7C1A81A3" w14:textId="77777777" w:rsidR="005055F5" w:rsidRPr="00C04273" w:rsidRDefault="005055F5" w:rsidP="005055F5">
      <w:pPr>
        <w:spacing w:after="0"/>
        <w:ind w:left="1416" w:firstLine="708"/>
      </w:pPr>
      <w:r w:rsidRPr="00C04273">
        <w:t>60325 Frankfurt</w:t>
      </w:r>
    </w:p>
    <w:p w14:paraId="1FEC3B6F" w14:textId="77777777" w:rsidR="005055F5" w:rsidRPr="00C04273" w:rsidRDefault="005055F5" w:rsidP="005055F5">
      <w:pPr>
        <w:spacing w:after="0"/>
        <w:ind w:left="1416" w:firstLine="708"/>
      </w:pPr>
      <w:r w:rsidRPr="00C04273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B412BC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1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7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9"/>
      <w:footerReference w:type="defaul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2D29C4-55D5-462C-893A-95C2D225CD5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56AD09A6-BCF0-4536-A033-0784F0594813}"/>
    <w:embedBold r:id="rId3" w:fontKey="{A2776DB2-F641-49D9-8949-9733F6EE49EE}"/>
    <w:embedItalic r:id="rId4" w:fontKey="{0C1B31A7-F758-4A90-B814-4C233B1D726F}"/>
    <w:embedBoldItalic r:id="rId5" w:fontKey="{B0C0262D-D5F8-4D52-90F7-C727E58685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6AF7622-CDA3-46DF-B453-B9B7334C0BDE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D3B70511-0955-441B-9C4B-7EAB29DAC8D5}"/>
    <w:embedBold r:id="rId8" w:fontKey="{1428DDC1-F649-4CE3-8F6C-A28D3D03FA2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6AF364E-4E1D-49C6-AE92-DD67D77DA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41B9C0A5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412BC">
          <w:rPr>
            <w:lang w:val="en-US"/>
          </w:rPr>
          <w:t>Market Consultation Solactive Global Lithium Index and Solactive Global Lithium (EUR) Index Adjustment of Index Composition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25.9pt;height:19.9pt" o:bullet="t">
        <v:imagedata r:id="rId1" o:title="S_Icons-Haken_02"/>
      </v:shape>
    </w:pict>
  </w:numPicBullet>
  <w:numPicBullet w:numPicBulletId="1">
    <w:pict>
      <v:shape id="_x0000_i1094" type="#_x0000_t75" style="width:19.9pt;height:19.9pt" o:bullet="t">
        <v:imagedata r:id="rId2" o:title="S_Icons-Pfeil_02"/>
      </v:shape>
    </w:pict>
  </w:numPicBullet>
  <w:numPicBullet w:numPicBulletId="2">
    <w:pict>
      <v:shape id="_x0000_i1095" type="#_x0000_t75" style="width:15.35pt;height:15.85pt" o:bullet="t">
        <v:imagedata r:id="rId3" o:title="Bullet_2_Indices_Small"/>
      </v:shape>
    </w:pict>
  </w:numPicBullet>
  <w:numPicBullet w:numPicBulletId="3">
    <w:pict>
      <v:shape id="_x0000_i1096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13086"/>
    <w:rsid w:val="00113439"/>
    <w:rsid w:val="00123CB9"/>
    <w:rsid w:val="00124B71"/>
    <w:rsid w:val="0012693E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012B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F21"/>
    <w:rsid w:val="003E3204"/>
    <w:rsid w:val="0040784E"/>
    <w:rsid w:val="00420C1C"/>
    <w:rsid w:val="0043684B"/>
    <w:rsid w:val="00447C88"/>
    <w:rsid w:val="00447DC5"/>
    <w:rsid w:val="004538B8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490A"/>
    <w:rsid w:val="007913A0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23F62"/>
    <w:rsid w:val="008345B7"/>
    <w:rsid w:val="00851638"/>
    <w:rsid w:val="00852511"/>
    <w:rsid w:val="00875EDB"/>
    <w:rsid w:val="00880689"/>
    <w:rsid w:val="0089032B"/>
    <w:rsid w:val="00895A4B"/>
    <w:rsid w:val="008A06B6"/>
    <w:rsid w:val="008A6AA1"/>
    <w:rsid w:val="008B3505"/>
    <w:rsid w:val="008C3106"/>
    <w:rsid w:val="008C573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2BF5"/>
    <w:rsid w:val="00A74BB3"/>
    <w:rsid w:val="00A94468"/>
    <w:rsid w:val="00AC0BF4"/>
    <w:rsid w:val="00AD1AED"/>
    <w:rsid w:val="00AF46AF"/>
    <w:rsid w:val="00B04ABF"/>
    <w:rsid w:val="00B1629F"/>
    <w:rsid w:val="00B210BC"/>
    <w:rsid w:val="00B26743"/>
    <w:rsid w:val="00B302B4"/>
    <w:rsid w:val="00B412BC"/>
    <w:rsid w:val="00B4681A"/>
    <w:rsid w:val="00B61371"/>
    <w:rsid w:val="00B915B6"/>
    <w:rsid w:val="00BA23D9"/>
    <w:rsid w:val="00BA3FA5"/>
    <w:rsid w:val="00BB1CFA"/>
    <w:rsid w:val="00BB7BCB"/>
    <w:rsid w:val="00BD4042"/>
    <w:rsid w:val="00C0189C"/>
    <w:rsid w:val="00C03D31"/>
    <w:rsid w:val="00C04273"/>
    <w:rsid w:val="00C22CA0"/>
    <w:rsid w:val="00C24716"/>
    <w:rsid w:val="00C30238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15533"/>
    <w:rsid w:val="00D30535"/>
    <w:rsid w:val="00D55031"/>
    <w:rsid w:val="00D620C6"/>
    <w:rsid w:val="00D72633"/>
    <w:rsid w:val="00D76406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http://www.solactive.co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yperlink" Target="mailto:info@solactive.com" TargetMode="External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25D2D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  <w:style w:type="paragraph" w:customStyle="1" w:styleId="FFE9B8BFAA3D45BAA7ED0607E9FAD4A1">
    <w:name w:val="FFE9B8BFAA3D45BAA7ED0607E9FAD4A1"/>
    <w:rsid w:val="00225D2D"/>
    <w:rPr>
      <w:lang w:val="en-DE" w:eastAsia="en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2019-05-06T00:00:00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EFF499-3C64-48B4-838E-8688EB551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Global Lithium Index and Solactive Global Lithium (EUR) Index Adjustment of Index Composition</vt:lpstr>
      <vt:lpstr>Index Calculation Guideline</vt:lpstr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Lithium Index and Solactive Global Lithium (EUR) Index Adjustment of Index Composition</dc:title>
  <dc:subject>Calculation Documents &amp; Methodologies</dc:subject>
  <dc:creator>Solactive AG</dc:creator>
  <cp:keywords/>
  <dc:description/>
  <cp:lastModifiedBy>Gerhards, Svend</cp:lastModifiedBy>
  <cp:revision>2</cp:revision>
  <cp:lastPrinted>2018-12-10T16:54:00Z</cp:lastPrinted>
  <dcterms:created xsi:type="dcterms:W3CDTF">2019-05-06T12:56:00Z</dcterms:created>
  <dcterms:modified xsi:type="dcterms:W3CDTF">2019-05-06T12:56:00Z</dcterms:modified>
  <cp:contentStatus>Version 1.1</cp:contentStatus>
</cp:coreProperties>
</file>